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ascii="宋体" w:hAnsi="宋体" w:cs="宋体"/>
          <w:b/>
          <w:color w:val="auto"/>
          <w:sz w:val="72"/>
          <w:szCs w:val="72"/>
          <w:highlight w:val="none"/>
          <w:lang w:eastAsia="zh-CN"/>
        </w:rPr>
      </w:pPr>
      <w:r>
        <w:rPr>
          <w:rFonts w:ascii="宋体" w:hAnsi="宋体" w:cs="宋体"/>
          <w:b/>
          <w:color w:val="auto"/>
          <w:sz w:val="72"/>
          <w:szCs w:val="72"/>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ascii="宋体" w:hAnsi="宋体" w:cs="宋体"/>
          <w:b/>
          <w:color w:val="auto"/>
          <w:sz w:val="72"/>
          <w:szCs w:val="72"/>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pStyle w:val="861"/>
        <w:rPr>
          <w:lang w:eastAsia="zh-CN"/>
        </w:rPr>
      </w:pPr>
      <w:r>
        <w:rPr>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center"/>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t xml:space="preserve"> </w:t>
      </w:r>
      <w:r/>
    </w:p>
    <w:p>
      <w:pPr>
        <w:ind w:firstLine="0"/>
        <w:jc w:val="both"/>
        <w:spacing w:line="240" w:lineRule="auto"/>
        <w:widowControl w:val="off"/>
        <w:tabs>
          <w:tab w:val="left" w:pos="7544" w:leader="none"/>
        </w:tabs>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JSZC-320205-WXSM-G2026-0005  </w:t>
      </w:r>
      <w:r>
        <w:rPr>
          <w:rFonts w:ascii="宋体" w:hAnsi="宋体" w:cs="宋体"/>
          <w:b/>
          <w:color w:val="auto"/>
          <w:sz w:val="32"/>
          <w:szCs w:val="32"/>
          <w:highlight w:val="none"/>
          <w:lang w:eastAsia="zh-CN"/>
        </w:rPr>
        <w:tab/>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3017" w:right="-139" w:hanging="3017"/>
        <w:jc w:val="both"/>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无锡市南京大学锡山应用生物技术研究所实验室家具及配套设备采购项目</w:t>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人：无锡市南京大学锡山应用生物技术研究所</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构：无锡苏名建设咨询有限公司</w:t>
      </w:r>
      <w:r/>
    </w:p>
    <w:p>
      <w:pPr>
        <w:ind w:right="-29"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lang w:eastAsia="zh-CN"/>
        </w:rPr>
        <w:t xml:space="preserve">月</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sdt>
      <w:sdtPr>
        <w15:appearance w15:val="boundingBox"/>
        <w:id w:val="-1"/>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890"/>
            <w:jc w:val="center"/>
            <w:rPr>
              <w:rFonts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870"/>
            <w:rPr>
              <w:rFonts w:asciiTheme="minorHAnsi" w:hAnsiTheme="minorHAnsi" w:eastAsiaTheme="minorEastAsia"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876"/>
              <w:color w:val="auto"/>
              <w:sz w:val="36"/>
              <w:szCs w:val="36"/>
              <w:highlight w:val="none"/>
              <w:lang w:eastAsia="zh-CN"/>
            </w:rPr>
            <w:t xml:space="preserve">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_Toc161316664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870"/>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876"/>
              <w:color w:val="auto"/>
              <w:sz w:val="36"/>
              <w:szCs w:val="36"/>
              <w:highlight w:val="none"/>
              <w:lang w:eastAsia="zh-CN"/>
            </w:rPr>
            <w:t xml:space="preserve">二、供应商须知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_Toc161316665 \h </w:instrText>
          </w:r>
          <w:r>
            <w:rPr>
              <w:color w:val="auto"/>
              <w:sz w:val="36"/>
              <w:szCs w:val="36"/>
              <w:highlight w:val="none"/>
            </w:rPr>
            <w:fldChar w:fldCharType="separate"/>
          </w:r>
          <w:r>
            <w:rPr>
              <w:color w:val="auto"/>
              <w:sz w:val="36"/>
              <w:szCs w:val="36"/>
              <w:highlight w:val="none"/>
            </w:rPr>
            <w:t xml:space="preserve">7</w:t>
          </w:r>
          <w:r>
            <w:rPr>
              <w:color w:val="auto"/>
              <w:sz w:val="36"/>
              <w:szCs w:val="36"/>
              <w:highlight w:val="none"/>
            </w:rPr>
            <w:fldChar w:fldCharType="end"/>
          </w:r>
          <w:r>
            <w:rPr>
              <w:color w:val="auto"/>
              <w:sz w:val="36"/>
              <w:szCs w:val="36"/>
              <w:highlight w:val="none"/>
            </w:rPr>
            <w:fldChar w:fldCharType="end"/>
          </w:r>
          <w:r/>
        </w:p>
        <w:p>
          <w:pPr>
            <w:pStyle w:val="870"/>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876"/>
              <w:color w:val="auto"/>
              <w:sz w:val="36"/>
              <w:szCs w:val="36"/>
              <w:highlight w:val="none"/>
              <w:lang w:eastAsia="zh-CN"/>
            </w:rPr>
            <w:t xml:space="preserve">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 xml:space="preserve">21</w:t>
          </w:r>
          <w:r>
            <w:rPr>
              <w:color w:val="auto"/>
              <w:sz w:val="36"/>
              <w:szCs w:val="36"/>
              <w:highlight w:val="none"/>
            </w:rPr>
            <w:fldChar w:fldCharType="end"/>
          </w:r>
          <w:r>
            <w:rPr>
              <w:color w:val="auto"/>
              <w:sz w:val="36"/>
              <w:szCs w:val="36"/>
              <w:highlight w:val="none"/>
            </w:rPr>
            <w:fldChar w:fldCharType="end"/>
          </w:r>
          <w:r/>
        </w:p>
        <w:p>
          <w:pPr>
            <w:pStyle w:val="870"/>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876"/>
              <w:color w:val="auto"/>
              <w:sz w:val="36"/>
              <w:szCs w:val="36"/>
              <w:highlight w:val="none"/>
              <w:lang w:eastAsia="zh-CN"/>
            </w:rPr>
            <w:t xml:space="preserve">四、合同书（格式文本）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_Toc161316667 \h </w:instrText>
          </w:r>
          <w:r>
            <w:rPr>
              <w:color w:val="auto"/>
              <w:sz w:val="36"/>
              <w:szCs w:val="36"/>
              <w:highlight w:val="none"/>
            </w:rPr>
            <w:fldChar w:fldCharType="separate"/>
          </w:r>
          <w:r>
            <w:rPr>
              <w:color w:val="auto"/>
              <w:sz w:val="36"/>
              <w:szCs w:val="36"/>
              <w:highlight w:val="none"/>
            </w:rPr>
            <w:t xml:space="preserve">37</w:t>
          </w:r>
          <w:r>
            <w:rPr>
              <w:color w:val="auto"/>
              <w:sz w:val="36"/>
              <w:szCs w:val="36"/>
              <w:highlight w:val="none"/>
            </w:rPr>
            <w:fldChar w:fldCharType="end"/>
          </w:r>
          <w:r>
            <w:rPr>
              <w:color w:val="auto"/>
              <w:sz w:val="36"/>
              <w:szCs w:val="36"/>
              <w:highlight w:val="none"/>
            </w:rPr>
            <w:fldChar w:fldCharType="end"/>
          </w:r>
          <w:r/>
        </w:p>
        <w:p>
          <w:pPr>
            <w:pStyle w:val="870"/>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876"/>
              <w:color w:val="auto"/>
              <w:sz w:val="36"/>
              <w:szCs w:val="36"/>
              <w:highlight w:val="none"/>
              <w:lang w:eastAsia="zh-CN"/>
            </w:rPr>
            <w:t xml:space="preserve">五、附件</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_Toc161316668 \h </w:instrText>
          </w:r>
          <w:r>
            <w:rPr>
              <w:color w:val="auto"/>
              <w:sz w:val="36"/>
              <w:szCs w:val="36"/>
              <w:highlight w:val="none"/>
            </w:rPr>
            <w:fldChar w:fldCharType="separate"/>
          </w:r>
          <w:r>
            <w:rPr>
              <w:color w:val="auto"/>
              <w:sz w:val="36"/>
              <w:szCs w:val="36"/>
              <w:highlight w:val="none"/>
            </w:rPr>
            <w:t xml:space="preserve">55</w:t>
          </w:r>
          <w:r>
            <w:rPr>
              <w:color w:val="auto"/>
              <w:sz w:val="36"/>
              <w:szCs w:val="36"/>
              <w:highlight w:val="none"/>
            </w:rPr>
            <w:fldChar w:fldCharType="end"/>
          </w:r>
          <w:r>
            <w:rPr>
              <w:color w:val="auto"/>
              <w:sz w:val="36"/>
              <w:szCs w:val="36"/>
              <w:highlight w:val="none"/>
            </w:rPr>
            <w:fldChar w:fldCharType="end"/>
          </w:r>
          <w:r/>
        </w:p>
        <w:p>
          <w:pPr>
            <w:pStyle w:val="871"/>
            <w:ind w:left="480" w:firstLine="480"/>
            <w:tabs>
              <w:tab w:val="right" w:pos="8296" w:leader="dot"/>
            </w:tabs>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"_Toc161316669" </w:instrText>
          </w:r>
          <w:r>
            <w:rPr>
              <w:color w:val="auto"/>
              <w:sz w:val="36"/>
              <w:szCs w:val="36"/>
              <w:highlight w:val="none"/>
            </w:rPr>
            <w:fldChar w:fldCharType="separate"/>
          </w:r>
          <w:r>
            <w:rPr>
              <w:rStyle w:val="876"/>
              <w:color w:val="auto"/>
              <w:sz w:val="36"/>
              <w:szCs w:val="36"/>
              <w:highlight w:val="none"/>
              <w:lang w:eastAsia="zh-CN"/>
            </w:rPr>
            <w:t xml:space="preserve">附件一：评分标准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_Toc161316669 \h </w:instrText>
          </w:r>
          <w:r>
            <w:rPr>
              <w:color w:val="auto"/>
              <w:sz w:val="36"/>
              <w:szCs w:val="36"/>
              <w:highlight w:val="none"/>
            </w:rPr>
            <w:fldChar w:fldCharType="separate"/>
          </w:r>
          <w:r>
            <w:rPr>
              <w:color w:val="auto"/>
              <w:sz w:val="36"/>
              <w:szCs w:val="36"/>
              <w:highlight w:val="none"/>
            </w:rPr>
            <w:t xml:space="preserve">55</w:t>
          </w:r>
          <w:r>
            <w:rPr>
              <w:color w:val="auto"/>
              <w:sz w:val="36"/>
              <w:szCs w:val="36"/>
              <w:highlight w:val="none"/>
            </w:rPr>
            <w:fldChar w:fldCharType="end"/>
          </w:r>
          <w:r>
            <w:rPr>
              <w:color w:val="auto"/>
              <w:sz w:val="36"/>
              <w:szCs w:val="36"/>
              <w:highlight w:val="none"/>
            </w:rPr>
            <w:fldChar w:fldCharType="end"/>
          </w:r>
          <w:r/>
        </w:p>
        <w:p>
          <w:pPr>
            <w:pStyle w:val="871"/>
            <w:ind w:left="480" w:firstLine="480"/>
            <w:tabs>
              <w:tab w:val="right" w:pos="8296" w:leader="dot"/>
            </w:tabs>
            <w:rPr>
              <w:rFonts w:hint="eastAsia" w:eastAsia="宋体" w:asciiTheme="minorHAnsi" w:hAnsiTheme="minorHAnsi" w:cstheme="minorBidi"/>
              <w:color w:val="auto"/>
              <w:sz w:val="21"/>
              <w:szCs w:val="22"/>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"_Toc161316670" </w:instrText>
          </w:r>
          <w:r>
            <w:rPr>
              <w:color w:val="auto"/>
              <w:sz w:val="36"/>
              <w:szCs w:val="36"/>
              <w:highlight w:val="none"/>
            </w:rPr>
            <w:fldChar w:fldCharType="separate"/>
          </w:r>
          <w:r>
            <w:rPr>
              <w:rStyle w:val="876"/>
              <w:color w:val="auto"/>
              <w:sz w:val="36"/>
              <w:szCs w:val="36"/>
              <w:highlight w:val="none"/>
              <w:lang w:eastAsia="zh-CN"/>
            </w:rPr>
            <w:t xml:space="preserve">附件二：投标文件格式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_Toc161316670 \h </w:instrText>
          </w:r>
          <w:r>
            <w:rPr>
              <w:color w:val="auto"/>
              <w:sz w:val="36"/>
              <w:szCs w:val="36"/>
              <w:highlight w:val="none"/>
            </w:rPr>
            <w:fldChar w:fldCharType="separate"/>
          </w:r>
          <w:r>
            <w:rPr>
              <w:color w:val="auto"/>
              <w:sz w:val="36"/>
              <w:szCs w:val="36"/>
              <w:highlight w:val="none"/>
            </w:rPr>
            <w:t xml:space="preserve">60</w:t>
          </w:r>
          <w:r>
            <w:rPr>
              <w:color w:val="auto"/>
              <w:sz w:val="36"/>
              <w:szCs w:val="36"/>
              <w:highlight w:val="none"/>
            </w:rPr>
            <w:fldChar w:fldCharType="end"/>
          </w:r>
          <w:r>
            <w:rPr>
              <w:color w:val="auto"/>
              <w:sz w:val="36"/>
              <w:szCs w:val="36"/>
              <w:highlight w:val="none"/>
            </w:rPr>
            <w:fldChar w:fldCharType="end"/>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spacing w:line="240" w:lineRule="auto"/>
        <w:rPr>
          <w:rFonts w:eastAsia="黑体"/>
          <w:b/>
          <w:bCs/>
          <w:color w:val="auto"/>
          <w:sz w:val="36"/>
          <w:szCs w:val="44"/>
          <w:highlight w:val="none"/>
          <w:lang w:eastAsia="zh-CN"/>
        </w:rPr>
      </w:pPr>
      <w:r/>
      <w:bookmarkStart w:id="0" w:name="_Toc101981929"/>
      <w:r/>
      <w:bookmarkStart w:id="1" w:name="_Toc161316664"/>
      <w:r/>
      <w:r/>
    </w:p>
    <w:p>
      <w:pPr>
        <w:pStyle w:val="855"/>
        <w:spacing w:after="240"/>
        <w:rPr>
          <w:color w:val="auto"/>
          <w:highlight w:val="none"/>
          <w:lang w:eastAsia="zh-CN"/>
        </w:rPr>
      </w:pPr>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无锡苏名建设咨询有限公司受</w:t>
      </w:r>
      <w:r>
        <w:rPr>
          <w:rFonts w:hint="eastAsia" w:ascii="宋体" w:hAnsi="宋体" w:cs="宋体"/>
          <w:b/>
          <w:bCs/>
          <w:color w:val="auto"/>
          <w:szCs w:val="24"/>
          <w:highlight w:val="none"/>
          <w:lang w:eastAsia="zh-CN"/>
        </w:rPr>
        <w:t xml:space="preserve">无锡市南京大学锡山应用生物技术研究所</w:t>
      </w:r>
      <w:r>
        <w:rPr>
          <w:rFonts w:hint="eastAsia" w:ascii="宋体" w:hAnsi="宋体" w:cs="Times New Roman"/>
          <w:bCs/>
          <w:color w:val="auto"/>
          <w:szCs w:val="24"/>
          <w:highlight w:val="none"/>
          <w:lang w:eastAsia="zh-CN"/>
        </w:rPr>
        <w:t xml:space="preserve">的委托，就</w:t>
      </w:r>
      <w:r>
        <w:rPr>
          <w:rFonts w:hint="eastAsia" w:ascii="宋体" w:hAnsi="宋体" w:cs="宋体"/>
          <w:b/>
          <w:bCs/>
          <w:color w:val="auto"/>
          <w:szCs w:val="24"/>
          <w:highlight w:val="none"/>
          <w:lang w:eastAsia="zh-CN"/>
        </w:rPr>
        <w:t xml:space="preserve">无锡市南京大学锡山应用生物技术研究所实验室家具及配套设备采购项目</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无锡市南京大学锡山应用生物技术研究所实验室家具及配套设备采购项目</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2.项目编号：JSZC-320205-WXSM-G2026-0005 </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b/>
          <w:color w:val="auto"/>
          <w:szCs w:val="24"/>
          <w:highlight w:val="none"/>
          <w:lang w:eastAsia="zh-CN"/>
        </w:rPr>
        <w:t xml:space="preserve">投标最高限价为</w:t>
      </w:r>
      <w:r>
        <w:rPr>
          <w:rFonts w:ascii="宋体" w:hAnsi="宋体" w:cs="宋体"/>
          <w:b/>
          <w:color w:val="auto"/>
          <w:szCs w:val="24"/>
          <w:highlight w:val="none"/>
          <w:lang w:eastAsia="zh-CN"/>
        </w:rPr>
        <w:t xml:space="preserve">148</w:t>
      </w:r>
      <w:r>
        <w:rPr>
          <w:rFonts w:hint="eastAsia" w:ascii="宋体" w:hAnsi="宋体" w:cs="宋体"/>
          <w:b/>
          <w:color w:val="auto"/>
          <w:szCs w:val="24"/>
          <w:highlight w:val="none"/>
          <w:lang w:eastAsia="zh-CN"/>
        </w:rPr>
        <w:t xml:space="preserve">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4.交付周期：</w:t>
      </w:r>
      <w:r>
        <w:rPr>
          <w:rFonts w:hint="eastAsia" w:ascii="宋体" w:hAnsi="宋体" w:cs="宋体"/>
          <w:bCs/>
          <w:color w:val="auto"/>
          <w:szCs w:val="24"/>
          <w:highlight w:val="none"/>
          <w:lang w:eastAsia="zh-CN"/>
        </w:rPr>
        <w:t xml:space="preserve">本项目供货期实行分阶段管理，所有区域均须在接到采购人发出的书面通知后</w:t>
      </w:r>
      <w:r>
        <w:rPr>
          <w:rFonts w:ascii="宋体" w:hAnsi="宋体" w:cs="宋体"/>
          <w:bCs/>
          <w:color w:val="auto"/>
          <w:szCs w:val="24"/>
          <w:highlight w:val="none"/>
          <w:lang w:eastAsia="zh-CN"/>
        </w:rPr>
        <w:t xml:space="preserve">5</w:t>
      </w:r>
      <w:r>
        <w:rPr>
          <w:rFonts w:hint="eastAsia" w:ascii="宋体" w:hAnsi="宋体" w:cs="宋体"/>
          <w:bCs/>
          <w:color w:val="auto"/>
          <w:szCs w:val="24"/>
          <w:highlight w:val="none"/>
          <w:lang w:eastAsia="zh-CN"/>
        </w:rPr>
        <w:t xml:space="preserve">日内启动供货，并确保在采购人发出书面通知之日起</w:t>
      </w:r>
      <w:r>
        <w:rPr>
          <w:rFonts w:ascii="宋体" w:hAnsi="宋体" w:cs="宋体"/>
          <w:bCs/>
          <w:color w:val="auto"/>
          <w:szCs w:val="24"/>
          <w:highlight w:val="none"/>
          <w:lang w:eastAsia="zh-CN"/>
        </w:rPr>
        <w:t xml:space="preserve">40</w:t>
      </w:r>
      <w:r>
        <w:rPr>
          <w:rFonts w:hint="eastAsia" w:ascii="宋体" w:hAnsi="宋体" w:cs="宋体"/>
          <w:bCs/>
          <w:color w:val="auto"/>
          <w:szCs w:val="24"/>
          <w:highlight w:val="none"/>
          <w:lang w:eastAsia="zh-CN"/>
        </w:rPr>
        <w:t xml:space="preserve">日历天内完成生产并交付使用。</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无锡市南京大学锡山应用生物技术研究所</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w:t>
      </w:r>
      <w:r>
        <w:rPr>
          <w:rFonts w:hint="eastAsia" w:ascii="宋体" w:hAnsi="宋体" w:cs="宋体"/>
          <w:bCs/>
          <w:color w:val="auto"/>
          <w:szCs w:val="24"/>
          <w:highlight w:val="none"/>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.本项目是否专门面向中小企业：是</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3.落实政府采购政策需满足的资格要求：供应商为中小微企业/监狱企业/残疾人福利企业；</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本项目的特定资格要求：无。 </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采购人、招标代理机构将以电话咨询、邮箱（956490275@qq.com）等方式开展线上不见面答疑服务。截至2026年</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10:00</w:t>
      </w:r>
      <w:r>
        <w:rPr>
          <w:rFonts w:hint="eastAsia" w:ascii="宋体" w:hAnsi="宋体" w:cs="Times New Roman"/>
          <w:color w:val="auto"/>
          <w:szCs w:val="24"/>
          <w:highlight w:val="none"/>
          <w:lang w:eastAsia="zh-CN"/>
        </w:rPr>
        <w:t xml:space="preserve">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Times New Roman"/>
          <w:color w:val="auto"/>
          <w:szCs w:val="24"/>
          <w:highlight w:val="none"/>
          <w:lang w:val="en-US" w:eastAsia="zh-CN"/>
        </w:rPr>
        <w:t xml:space="preserve">JSZC-320205-WXSM-G2026-0005</w:t>
      </w:r>
      <w:r>
        <w:rPr>
          <w:rFonts w:hint="eastAsia" w:ascii="宋体" w:hAnsi="宋体" w:cs="Times New Roman"/>
          <w:color w:val="auto"/>
          <w:szCs w:val="24"/>
          <w:highlight w:val="none"/>
          <w:lang w:eastAsia="zh-CN"/>
        </w:rPr>
        <w:t xml:space="preserve">需澄清问题”， 并于答疑截止时间前邮箱（956490275@qq.com）给项目联系人。若未在法定时间内提出澄清，由此造成的损失及风险由供应商自行承担。 </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26</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9:30</w:t>
      </w:r>
      <w:r>
        <w:rPr>
          <w:rFonts w:hint="eastAsia" w:ascii="宋体" w:hAnsi="宋体" w:cs="Times New Roman"/>
          <w:color w:val="auto"/>
          <w:szCs w:val="24"/>
          <w:highlight w:val="none"/>
          <w:lang w:eastAsia="zh-CN"/>
        </w:rPr>
        <w:t xml:space="preserve">，投标截止时间后的投标文件恕不接受。</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26</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 9:30</w:t>
      </w:r>
      <w:r>
        <w:rPr>
          <w:rFonts w:hint="eastAsia" w:ascii="宋体" w:hAnsi="宋体" w:cs="Times New Roman"/>
          <w:color w:val="auto"/>
          <w:szCs w:val="24"/>
          <w:highlight w:val="none"/>
          <w:lang w:eastAsia="zh-CN"/>
        </w:rPr>
        <w:t xml:space="preserve">。</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w:t>
      </w:r>
      <w:r>
        <w:rPr>
          <w:rFonts w:hint="eastAsia" w:ascii="宋体" w:hAnsi="宋体" w:cs="Times New Roman"/>
          <w:color w:val="auto"/>
          <w:szCs w:val="24"/>
          <w:highlight w:val="none"/>
          <w:lang w:val="en-US" w:eastAsia="zh-CN"/>
        </w:rPr>
        <w:t xml:space="preserve">204</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1.采购人：无锡市南京大学锡山应用生物技术研究所</w:t>
      </w:r>
      <w:r/>
    </w:p>
    <w:p>
      <w:pPr>
        <w:ind w:firstLine="480"/>
        <w:shd w:val="clear" w:color="auto" w:fill="ffffff"/>
        <w:tabs>
          <w:tab w:val="left" w:pos="5148" w:leader="none"/>
        </w:tabs>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采购人地址：无锡市锡山区安镇街道东安路88号5楼</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人：周佳熹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w:t>
      </w:r>
      <w:r>
        <w:rPr>
          <w:rFonts w:ascii="宋体" w:hAnsi="宋体" w:cs="Times New Roman"/>
          <w:color w:val="auto"/>
          <w:szCs w:val="24"/>
          <w:highlight w:val="none"/>
          <w:lang w:eastAsia="zh-CN"/>
        </w:rPr>
        <w:t xml:space="preserve">0510-88998992</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无锡苏名建设咨询有限公司</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联系地址：无锡市锡山区东亭街道东亭中路20-2-2501</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联系人：袁嘉忆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联系电话：13506182386</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855"/>
        <w:spacing w:after="240"/>
        <w:rPr>
          <w:rFonts w:ascii="黑体" w:hAnsi="黑体"/>
          <w:color w:val="auto"/>
          <w:szCs w:val="36"/>
          <w:highlight w:val="none"/>
          <w:lang w:eastAsia="zh-CN"/>
        </w:rPr>
      </w:pPr>
      <w:r/>
      <w:bookmarkStart w:id="8" w:name="_Toc161316665"/>
      <w:r>
        <w:rPr>
          <w:color w:val="auto"/>
          <w:highlight w:val="none"/>
          <w:lang w:eastAsia="zh-CN"/>
        </w:rPr>
        <w:br w:type="page" w:clear="all"/>
      </w:r>
      <w:r>
        <w:rPr>
          <w:rFonts w:hint="eastAsia"/>
          <w:color w:val="auto"/>
          <w:highlight w:val="none"/>
          <w:lang w:eastAsia="zh-CN"/>
        </w:rPr>
        <w:t xml:space="preserve">二、供应商须知</w:t>
      </w:r>
      <w:bookmarkEnd w:id="8"/>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eastAsia="zh-CN"/>
        </w:rPr>
        <w:t xml:space="preserve">956490275</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供应商情况表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8.</w:t>
      </w:r>
      <w:r>
        <w:rPr>
          <w:rFonts w:hint="eastAsia" w:ascii="宋体" w:hAnsi="宋体" w:cs="宋体"/>
          <w:color w:val="auto"/>
          <w:highlight w:val="none"/>
          <w:lang w:eastAsia="zh-CN"/>
        </w:rPr>
        <w:t xml:space="preserve">供应商近年已完成类似业绩一览表</w:t>
      </w:r>
      <w:r>
        <w:rPr>
          <w:rFonts w:hint="eastAsia" w:ascii="宋体" w:hAnsi="宋体" w:cs="宋体"/>
          <w:b/>
          <w:bCs/>
          <w:color w:val="auto"/>
          <w:szCs w:val="24"/>
          <w:highlight w:val="none"/>
          <w:lang w:eastAsia="zh-CN"/>
        </w:rPr>
        <w:t xml:space="preserve">（格式见附件）</w:t>
      </w:r>
      <w:r>
        <w:rPr>
          <w:rFonts w:hint="eastAsia" w:ascii="宋体" w:hAnsi="宋体" w:cs="宋体"/>
          <w:color w:val="auto"/>
          <w:highlight w:val="none"/>
          <w:lang w:eastAsia="zh-CN"/>
        </w:rPr>
        <w:t xml:space="preserve"> </w:t>
      </w:r>
      <w:r/>
    </w:p>
    <w:p>
      <w:pPr>
        <w:ind w:firstLine="480"/>
        <w:shd w:val="clear" w:color="auto" w:fill="ffffff"/>
        <w:rPr>
          <w:rFonts w:ascii="宋体" w:hAnsi="宋体" w:cs="宋体"/>
          <w:color w:val="auto"/>
          <w:highlight w:val="none"/>
          <w:lang w:eastAsia="zh-CN"/>
        </w:rPr>
      </w:pPr>
      <w:r>
        <w:rPr>
          <w:rFonts w:hint="eastAsia" w:ascii="宋体" w:hAnsi="宋体" w:cs="宋体"/>
          <w:color w:val="auto"/>
          <w:szCs w:val="24"/>
          <w:highlight w:val="none"/>
          <w:lang w:eastAsia="zh-CN"/>
        </w:rPr>
        <w:t xml:space="preserve">9.</w:t>
      </w:r>
      <w:r>
        <w:rPr>
          <w:rFonts w:hint="eastAsia" w:ascii="宋体" w:hAnsi="宋体" w:cs="宋体"/>
          <w:color w:val="auto"/>
          <w:highlight w:val="none"/>
          <w:lang w:eastAsia="zh-CN"/>
        </w:rPr>
        <w:t xml:space="preserve">提供第三章</w:t>
      </w:r>
      <w:r>
        <w:rPr>
          <w:rFonts w:hint="eastAsia" w:ascii="宋体" w:hAnsi="宋体" w:cs="宋体"/>
          <w:color w:val="auto"/>
          <w:szCs w:val="24"/>
          <w:highlight w:val="none"/>
          <w:lang w:eastAsia="zh-CN"/>
        </w:rPr>
        <w:t xml:space="preserve">采购需求和技术有关要求中</w:t>
      </w:r>
      <w:r>
        <w:rPr>
          <w:rFonts w:hint="eastAsia" w:ascii="宋体" w:hAnsi="宋体" w:cs="宋体"/>
          <w:color w:val="auto"/>
          <w:highlight w:val="none"/>
          <w:lang w:eastAsia="zh-CN"/>
        </w:rPr>
        <w:t xml:space="preserve">需提供的相关证明材料</w:t>
      </w:r>
      <w:r/>
    </w:p>
    <w:p>
      <w:pPr>
        <w:ind w:firstLine="480"/>
        <w:shd w:val="clear" w:color="auto" w:fill="ffffff"/>
        <w:rPr>
          <w:rFonts w:ascii="宋体" w:hAnsi="宋体" w:cs="宋体"/>
          <w:color w:val="auto"/>
          <w:highlight w:val="none"/>
          <w:lang w:eastAsia="zh-CN"/>
        </w:rPr>
      </w:pPr>
      <w:r>
        <w:rPr>
          <w:rFonts w:hint="eastAsia" w:ascii="宋体" w:hAnsi="宋体" w:cs="宋体"/>
          <w:color w:val="auto"/>
          <w:highlight w:val="none"/>
          <w:lang w:eastAsia="zh-CN"/>
        </w:rPr>
        <w:t xml:space="preserve">10.</w:t>
      </w:r>
      <w:r>
        <w:rPr>
          <w:rFonts w:hint="eastAsia" w:ascii="宋体" w:hAnsi="宋体" w:cs="宋体"/>
          <w:color w:val="auto"/>
          <w:szCs w:val="24"/>
          <w:highlight w:val="none"/>
          <w:lang w:eastAsia="zh-CN"/>
        </w:rPr>
        <w:t xml:space="preserve">技术方案</w:t>
      </w:r>
      <w:r>
        <w:rPr>
          <w:rFonts w:hint="eastAsia" w:ascii="宋体" w:hAnsi="宋体" w:cs="宋体"/>
          <w:b/>
          <w:bCs/>
          <w:color w:val="auto"/>
          <w:szCs w:val="24"/>
          <w:highlight w:val="none"/>
          <w:lang w:eastAsia="zh-CN"/>
        </w:rPr>
        <w:t xml:space="preserve">（详见评分标准）</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highlight w:val="none"/>
          <w:lang w:eastAsia="zh-CN"/>
        </w:rPr>
        <w:t xml:space="preserve">11.</w:t>
      </w:r>
      <w:r>
        <w:rPr>
          <w:rFonts w:hint="eastAsia" w:ascii="宋体" w:hAnsi="宋体" w:cs="宋体"/>
          <w:color w:val="auto"/>
          <w:szCs w:val="24"/>
          <w:highlight w:val="none"/>
          <w:lang w:eastAsia="zh-CN"/>
        </w:rPr>
        <w:t xml:space="preserve">评分标准中对应的其他所需证明材料</w:t>
      </w:r>
      <w:r>
        <w:rPr>
          <w:rFonts w:hint="eastAsia" w:ascii="宋体" w:hAnsi="宋体" w:cs="宋体"/>
          <w:b/>
          <w:bCs/>
          <w:color w:val="auto"/>
          <w:szCs w:val="24"/>
          <w:highlight w:val="none"/>
          <w:lang w:eastAsia="zh-CN"/>
        </w:rPr>
        <w:t xml:space="preserve">（详见评分标准）</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12.</w:t>
      </w:r>
      <w:r>
        <w:rPr>
          <w:rFonts w:hint="eastAsia" w:ascii="宋体" w:hAnsi="宋体" w:cs="宋体"/>
          <w:color w:val="auto"/>
          <w:highlight w:val="none"/>
          <w:lang w:eastAsia="zh-CN"/>
        </w:rPr>
        <w:t xml:space="preserve">要求采购人提供的配合（</w:t>
      </w:r>
      <w:r>
        <w:rPr>
          <w:rFonts w:hint="eastAsia" w:ascii="宋体" w:hAnsi="宋体" w:cs="宋体"/>
          <w:b/>
          <w:bCs/>
          <w:color w:val="auto"/>
          <w:szCs w:val="24"/>
          <w:highlight w:val="none"/>
          <w:lang w:eastAsia="zh-CN"/>
        </w:rPr>
        <w:t xml:space="preserve">如有格式自拟并自行添加）</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
          <w:bCs/>
          <w:color w:val="auto"/>
          <w:szCs w:val="24"/>
          <w:highlight w:val="none"/>
          <w:lang w:eastAsia="zh-CN"/>
        </w:rPr>
        <w:t xml:space="preserve">13.</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424"/>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19.</w:t>
      </w:r>
      <w:r>
        <w:rPr>
          <w:rFonts w:hint="eastAsia" w:ascii="宋体" w:hAnsi="宋体" w:cs="Times New Roman"/>
          <w:color w:val="auto"/>
          <w:szCs w:val="24"/>
          <w:highlight w:val="none"/>
          <w:lang w:eastAsia="zh-CN"/>
        </w:rPr>
        <w:t xml:space="preserve">未通过符合性审查的；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22.投标文件内容不全或不符合招标文件中规定的其他实质性要求的；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23.未按要求提供第三章采购需求和技术有关要求中须提供的相关证明材料的；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24.投标系统中不同投标供应商的MAC地址一致或标书制作工具客户端标识码一致的；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评标委员会认定投标供应商的报价明显低于其他通过符合性审查投标供应商的报价，有可能影响产品质量或者不能诚信履约的，应当按照《财政部关于推动解决政府采购异常低价问题的通知》（财库〔</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）评审过程中出现下列情形之一的，评标委员会应当启动异常低价投标（响应）审查程序：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评审委员会基于专业判断，认为供应商报价过低，有可能影响产品质量或者不能诚信履约的其他情形。</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 xml:space="preserve">，给予相关供应商的合理时间一般不少于</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分钟（本项目约定为：</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860"/>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37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本项目不接受联合投标；不允许分包、转包（详见“投标邀请函”－“供应商资格要求”之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B．符合性检查。评标委员会依据招标文件的规定，从投标文件的有效性、完整性和对招标文件的响应程度进行审查，以确定是否对招标文件的实质性要求作出响应。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860"/>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35"/>
        </w:trPr>
        <w:tc>
          <w:tcPr>
            <w:tcW w:w="75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556"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605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49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70"/>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62"/>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供应商情况表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725"/>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供应商近年来已完成类似业绩一览表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2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6051"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650"/>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spacing w:before="240"/>
        <w:shd w:val="clear" w:color="auto" w:fill="ffffff"/>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投标供应商通过初审的，方可进入比较与评价程序，本项目采用综合评分法。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hd w:val="clear" w:color="auto" w:fill="ffffff"/>
        <w:rPr>
          <w:rFonts w:ascii="宋体" w:hAnsi="宋体" w:cs="Times New Roman"/>
          <w:color w:val="auto"/>
          <w:szCs w:val="24"/>
          <w:highlight w:val="none"/>
          <w:lang w:eastAsia="zh-CN"/>
        </w:rPr>
      </w:pPr>
      <w:r/>
      <w:bookmarkStart w:id="12"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zh-CN" w:eastAsia="zh-CN"/>
        </w:rPr>
        <w:t xml:space="preserve">”条款的规定向采购人或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提出质疑，上述应知其权益受到损害之日，是指：</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负责答复。</w:t>
      </w:r>
      <w:r/>
    </w:p>
    <w:p>
      <w:pPr>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不接受未填写快递运单的快件）。</w:t>
      </w:r>
      <w:r/>
    </w:p>
    <w:p>
      <w:pPr>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联系人、联系方式、通信地址见招标文件第一章。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5.以下情形的质疑不予受理：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right="-240"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未参加投标活动的供应商或在投标活动中自身权益未受到损害的供应商所提出的质疑；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供应商组成联合体参加投标</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lang w:val="zh-CN" w:eastAsia="zh-CN"/>
        </w:rPr>
        <w:t xml:space="preserve">，联合体中任何一方或多方未按要求签字、盖章、加盖公章的质疑。</w:t>
      </w:r>
      <w:r/>
    </w:p>
    <w:p>
      <w:pPr>
        <w:ind w:firstLine="480"/>
        <w:rPr>
          <w:rFonts w:ascii="宋体" w:hAnsi="宋体" w:cs="Times New Roman"/>
          <w:b/>
          <w:bCs/>
          <w:color w:val="auto"/>
          <w:szCs w:val="24"/>
          <w:highlight w:val="none"/>
          <w:lang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（十五）服务费：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招标代理服务费以中标价为计费基础，收费标准为（货物类）：中标金额100万元（含100万元）以下费率为中标金额的1.125%，中标金额100万元～500万元（含）费率为中标金额的0.825%。由</w:t>
      </w:r>
      <w:r>
        <w:rPr>
          <w:rFonts w:hint="eastAsia" w:ascii="宋体" w:hAnsi="宋体" w:cs="Times New Roman"/>
          <w:b/>
          <w:color w:val="auto"/>
          <w:szCs w:val="24"/>
          <w:highlight w:val="none"/>
          <w:lang w:eastAsia="zh-CN"/>
        </w:rPr>
        <w:t xml:space="preserve">中标供应商</w:t>
      </w:r>
      <w:r>
        <w:rPr>
          <w:rFonts w:hint="eastAsia" w:ascii="宋体" w:hAnsi="宋体" w:cs="Times New Roman"/>
          <w:color w:val="auto"/>
          <w:szCs w:val="24"/>
          <w:highlight w:val="none"/>
          <w:lang w:eastAsia="zh-CN"/>
        </w:rPr>
        <w:t xml:space="preserve">支付。</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clear="all"/>
      </w:r>
      <w:r/>
    </w:p>
    <w:p>
      <w:pPr>
        <w:pStyle w:val="855"/>
        <w:spacing w:after="240"/>
        <w:rPr>
          <w:rFonts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4"/>
      <w:r/>
      <w:r/>
    </w:p>
    <w:p>
      <w:pPr>
        <w:ind w:right="-143" w:firstLine="480"/>
        <w:rPr>
          <w:color w:val="auto"/>
          <w:highlight w:val="none"/>
          <w:lang w:eastAsia="zh-CN"/>
        </w:rPr>
      </w:pPr>
      <w:r>
        <w:rPr>
          <w:rFonts w:hint="eastAsia"/>
          <w:color w:val="auto"/>
          <w:highlight w:val="none"/>
          <w:lang w:eastAsia="zh-CN"/>
        </w:rPr>
        <w:t xml:space="preserve">本项目为无锡市南京大学锡山应用生物技术研究所实验室家具及配套设备采购项目，本项目中的</w:t>
      </w:r>
      <w:r>
        <w:rPr>
          <w:rFonts w:hint="eastAsia"/>
          <w:bCs/>
          <w:color w:val="auto"/>
          <w:highlight w:val="none"/>
          <w:lang w:eastAsia="zh-CN"/>
        </w:rPr>
        <w:t xml:space="preserve">核心产品为</w:t>
      </w:r>
      <w:r>
        <w:rPr>
          <w:rFonts w:hint="eastAsia"/>
          <w:b/>
          <w:color w:val="auto"/>
          <w:highlight w:val="none"/>
          <w:lang w:eastAsia="zh-CN"/>
        </w:rPr>
        <w:t xml:space="preserve">全钢边台</w:t>
      </w:r>
      <w:r>
        <w:rPr>
          <w:rFonts w:hint="eastAsia"/>
          <w:color w:val="auto"/>
          <w:highlight w:val="none"/>
          <w:lang w:eastAsia="zh-CN"/>
        </w:rPr>
        <w:t xml:space="preserve">。投标供应商所投内容必须满足以下要求，不得有负偏离。</w:t>
      </w:r>
      <w:r/>
    </w:p>
    <w:p>
      <w:pPr>
        <w:ind w:right="-143" w:firstLine="0"/>
        <w:rPr>
          <w:color w:val="auto"/>
          <w:highlight w:val="none"/>
          <w:lang w:eastAsia="zh-CN"/>
        </w:rPr>
      </w:pPr>
      <w:r>
        <w:rPr>
          <w:rFonts w:hint="eastAsia"/>
          <w:b/>
          <w:color w:val="auto"/>
          <w:highlight w:val="none"/>
          <w:lang w:eastAsia="zh-CN"/>
        </w:rPr>
        <w:t xml:space="preserve">（一）项目基本情况</w:t>
      </w:r>
      <w:r/>
    </w:p>
    <w:p>
      <w:pPr>
        <w:ind w:right="-143" w:firstLine="480"/>
        <w:rPr>
          <w:rFonts w:ascii="宋体" w:hAnsi="宋体" w:cs="宋体"/>
          <w:color w:val="auto"/>
          <w:highlight w:val="none"/>
          <w:lang w:eastAsia="zh-CN"/>
        </w:rPr>
      </w:pPr>
      <w:r>
        <w:rPr>
          <w:rFonts w:hint="eastAsia" w:ascii="宋体" w:hAnsi="宋体" w:cs="宋体"/>
          <w:color w:val="auto"/>
          <w:highlight w:val="none"/>
          <w:lang w:eastAsia="zh-CN"/>
        </w:rPr>
        <w:t xml:space="preserve">1.项目地址：无锡市南京大学锡山应用生物技术研究所。</w:t>
      </w:r>
      <w:r/>
    </w:p>
    <w:p>
      <w:pPr>
        <w:ind w:right="-143" w:firstLine="480"/>
        <w:rPr>
          <w:rFonts w:ascii="宋体" w:hAnsi="宋体" w:cs="宋体"/>
          <w:color w:val="auto"/>
          <w:highlight w:val="none"/>
          <w:lang w:eastAsia="zh-CN"/>
        </w:rPr>
      </w:pPr>
      <w:r>
        <w:rPr>
          <w:rFonts w:hint="eastAsia" w:ascii="宋体" w:hAnsi="宋体" w:cs="宋体"/>
          <w:color w:val="auto"/>
          <w:highlight w:val="none"/>
          <w:lang w:eastAsia="zh-CN"/>
        </w:rPr>
        <w:t xml:space="preserve">2.采购范围：清单范围内的无锡市南京大学锡山应用生物技术研究所实验室家具及配套设备采购。</w:t>
      </w:r>
      <w:r/>
    </w:p>
    <w:p>
      <w:pPr>
        <w:ind w:right="-143" w:firstLine="480"/>
        <w:rPr>
          <w:rFonts w:ascii="宋体" w:hAnsi="宋体" w:cs="宋体"/>
          <w:color w:val="auto"/>
          <w:highlight w:val="none"/>
          <w:lang w:eastAsia="zh-CN"/>
        </w:rPr>
      </w:pPr>
      <w:r>
        <w:rPr>
          <w:rFonts w:hint="eastAsia" w:ascii="宋体" w:hAnsi="宋体" w:cs="宋体"/>
          <w:color w:val="auto"/>
          <w:highlight w:val="none"/>
          <w:lang w:eastAsia="zh-CN"/>
        </w:rPr>
        <w:t xml:space="preserve">3.交付周期：</w:t>
      </w:r>
      <w:r>
        <w:rPr>
          <w:rFonts w:hint="eastAsia" w:ascii="宋体" w:hAnsi="宋体" w:cs="宋体"/>
          <w:bCs/>
          <w:color w:val="auto"/>
          <w:szCs w:val="24"/>
          <w:highlight w:val="none"/>
          <w:lang w:eastAsia="zh-CN"/>
        </w:rPr>
        <w:t xml:space="preserve">本项目供货期实行分阶段管理，所有区域均须在接到采购人发出的书面通知后5日内启动供货，并确保在采购人发出书面通知之日起40日历天内完成生产并交付使用</w:t>
      </w:r>
      <w:r>
        <w:rPr>
          <w:rFonts w:hint="eastAsia" w:ascii="宋体" w:hAnsi="宋体" w:cs="宋体"/>
          <w:color w:val="auto"/>
          <w:highlight w:val="none"/>
          <w:lang w:eastAsia="zh-CN"/>
        </w:rPr>
        <w:t xml:space="preserve">。中标供应商所提供的货物应符合国家相关质量标准。货物名称、型号规格、数量、颜色、外观等符合采购人要求，不得有损毁或损坏。</w:t>
      </w:r>
      <w:r/>
    </w:p>
    <w:p>
      <w:pPr>
        <w:ind w:right="-143" w:firstLine="480"/>
        <w:rPr>
          <w:color w:val="auto"/>
          <w:highlight w:val="none"/>
          <w:lang w:eastAsia="zh-CN"/>
        </w:rPr>
      </w:pPr>
      <w:r>
        <w:rPr>
          <w:rFonts w:hint="eastAsia" w:ascii="宋体" w:hAnsi="宋体" w:cs="宋体"/>
          <w:color w:val="auto"/>
          <w:highlight w:val="none"/>
          <w:lang w:eastAsia="zh-CN"/>
        </w:rPr>
        <w:t xml:space="preserve">4.付款方</w:t>
      </w:r>
      <w:r>
        <w:rPr>
          <w:rFonts w:hint="eastAsia"/>
          <w:color w:val="auto"/>
          <w:highlight w:val="none"/>
          <w:lang w:eastAsia="zh-CN"/>
        </w:rPr>
        <w:t xml:space="preserve">式：</w:t>
      </w:r>
      <w:r/>
    </w:p>
    <w:p>
      <w:pPr>
        <w:ind w:right="-143" w:firstLine="480"/>
        <w:rPr>
          <w:rFonts w:ascii="宋体" w:hAnsi="宋体" w:cs="宋体"/>
          <w:color w:val="auto"/>
          <w:highlight w:val="none"/>
          <w:lang w:eastAsia="zh-CN"/>
        </w:rPr>
      </w:pPr>
      <w:r>
        <w:rPr>
          <w:rFonts w:hint="eastAsia"/>
          <w:color w:val="auto"/>
          <w:highlight w:val="none"/>
          <w:lang w:eastAsia="zh-CN"/>
        </w:rPr>
        <w:t xml:space="preserve">合同签订后，采购人向中标人支付合同总价的30%作为预付款；一楼、三楼、四楼及五楼货物交付安装并经初步验收合格后，采购人支付至合同总价的70%；二楼区域在接到采购人书面通知后完成供货安装并经初步验收合格后，采购人支付至合同总价的95%；项目全部完工并通过最终联合验收后，采购人支付剩余5%尾款。每次付款前中标供应商需提交相应的付款发票，采购人原则上应当自收到发票后10个工作日内将资金支付到合同约定的供应商账户。若中标供应商未能按期开具发票，采购人可顺延付款</w:t>
      </w:r>
      <w:r>
        <w:rPr>
          <w:rFonts w:hint="eastAsia" w:ascii="宋体" w:hAnsi="宋体" w:cs="宋体"/>
          <w:color w:val="auto"/>
          <w:highlight w:val="none"/>
          <w:lang w:eastAsia="zh-CN"/>
        </w:rPr>
        <w:t xml:space="preserve">。</w:t>
      </w:r>
      <w:r/>
    </w:p>
    <w:p>
      <w:pPr>
        <w:ind w:right="-143" w:firstLine="0"/>
        <w:rPr>
          <w:b/>
          <w:color w:val="auto"/>
          <w:highlight w:val="none"/>
          <w:lang w:eastAsia="zh-CN"/>
        </w:rPr>
      </w:pPr>
      <w:r>
        <w:rPr>
          <w:rFonts w:hint="eastAsia"/>
          <w:b/>
          <w:color w:val="auto"/>
          <w:highlight w:val="none"/>
          <w:lang w:eastAsia="zh-CN"/>
        </w:rPr>
        <w:t xml:space="preserve">（二）采购清单</w:t>
      </w:r>
      <w:r/>
    </w:p>
    <w:tbl>
      <w:tblPr>
        <w:tblStyle w:val="860"/>
        <w:tblpPr w:horzAnchor="page" w:tblpX="956" w:vertAnchor="text" w:tblpY="121" w:leftFromText="180" w:topFromText="0" w:rightFromText="180" w:bottomFromText="0"/>
        <w:tblW w:w="10350" w:type="dxa"/>
        <w:tblInd w:w="0" w:type="dxa"/>
        <w:tblLayout w:type="autofit"/>
        <w:tblCellMar>
          <w:left w:w="108" w:type="dxa"/>
          <w:top w:w="0" w:type="dxa"/>
          <w:right w:w="108" w:type="dxa"/>
          <w:bottom w:w="0" w:type="dxa"/>
        </w:tblCellMar>
        <w:tblLook w:val="04A0" w:firstRow="1" w:lastRow="0" w:firstColumn="1" w:lastColumn="0" w:noHBand="0" w:noVBand="1"/>
      </w:tblPr>
      <w:tblGrid>
        <w:gridCol w:w="646"/>
        <w:gridCol w:w="2290"/>
        <w:gridCol w:w="3585"/>
        <w:gridCol w:w="1559"/>
        <w:gridCol w:w="2270"/>
      </w:tblGrid>
      <w:tr>
        <w:trPr>
          <w:trHeight w:val="642"/>
          <w:tblHeader/>
        </w:trPr>
        <w:tc>
          <w:tcPr>
            <w:gridSpan w:val="5"/>
            <w:shd w:val="clear" w:color="auto" w:fill="auto"/>
            <w:tcBorders>
              <w:top w:val="none" w:color="000000" w:sz="4" w:space="0"/>
              <w:left w:val="none" w:color="000000" w:sz="4" w:space="0"/>
              <w:bottom w:val="single" w:color="auto" w:sz="4" w:space="0"/>
              <w:right w:val="none" w:color="000000" w:sz="4" w:space="0"/>
            </w:tcBorders>
            <w:tcW w:w="10350" w:type="dxa"/>
            <w:vAlign w:val="center"/>
            <w:textDirection w:val="lrTb"/>
            <w:noWrap w:val="false"/>
          </w:tcPr>
          <w:p>
            <w:pPr>
              <w:ind w:firstLine="480"/>
              <w:keepNext/>
              <w:spacing w:line="240" w:lineRule="auto"/>
              <w:rPr>
                <w:rFonts w:ascii="宋体" w:hAnsi="宋体" w:cs="宋体"/>
                <w:b/>
                <w:bCs/>
                <w:color w:val="auto"/>
                <w:sz w:val="20"/>
                <w:szCs w:val="20"/>
                <w:highlight w:val="none"/>
                <w:lang w:eastAsia="zh-CN" w:bidi="ar"/>
              </w:rPr>
            </w:pPr>
            <w:r>
              <w:rPr>
                <w:rFonts w:hint="eastAsia" w:ascii="宋体" w:hAnsi="宋体" w:cs="宋体"/>
                <w:color w:val="auto"/>
                <w:szCs w:val="24"/>
                <w:highlight w:val="none"/>
                <w:lang w:eastAsia="zh-CN" w:bidi="ar"/>
              </w:rPr>
              <w:t xml:space="preserve">本项目为货物采购，其中货物采购标的及对应的中小企业划分标准所属行业如下表：</w:t>
            </w:r>
            <w:r/>
          </w:p>
        </w:tc>
      </w:tr>
      <w:tr>
        <w:trPr>
          <w:trHeight w:val="267"/>
          <w:tblHeader/>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firstLine="0"/>
              <w:jc w:val="center"/>
              <w:keepNext/>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0"/>
              <w:jc w:val="center"/>
              <w:keepNext/>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 xml:space="preserve">房间号</w:t>
            </w:r>
            <w:r/>
          </w:p>
        </w:tc>
        <w:tc>
          <w:tcPr>
            <w:shd w:val="clear" w:color="auto" w:fill="auto"/>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ind w:firstLine="0"/>
              <w:jc w:val="center"/>
              <w:keepNext/>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jc w:val="center"/>
              <w:keepNext/>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 xml:space="preserve">性能参数</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firstLine="0"/>
              <w:jc w:val="center"/>
              <w:keepNext/>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 xml:space="preserve">所属行业</w:t>
            </w:r>
            <w:r/>
          </w:p>
        </w:tc>
      </w:tr>
      <w:tr>
        <w:trPr>
          <w:trHeight w:val="26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1F-101</w:t>
            </w:r>
            <w:r/>
          </w:p>
        </w:tc>
        <w:tc>
          <w:tcPr>
            <w:shd w:val="clear" w:color="auto" w:fill="auto"/>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auto"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1F-101</w:t>
            </w:r>
            <w:r/>
          </w:p>
        </w:tc>
        <w:tc>
          <w:tcPr>
            <w:shd w:val="clear" w:color="auto" w:fill="auto"/>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w:t>
            </w:r>
            <w:r/>
          </w:p>
        </w:tc>
        <w:tc>
          <w:tcPr>
            <w:shd w:val="clear" w:color="auto" w:fill="auto"/>
            <w:tcBorders>
              <w:top w:val="single" w:color="auto"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auto"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1F-101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全钢转角台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1F-101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 xml:space="preserve">1F-SPF 级饲料存放间</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 xml:space="preserve">1F-SPF 级饲料存放间</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1F－维修间</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2F-洗衣房</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w:t>
            </w:r>
            <w:r>
              <w:rPr>
                <w:rFonts w:hint="eastAsia" w:ascii="宋体" w:hAnsi="宋体" w:cs="宋体"/>
                <w:color w:val="auto"/>
                <w:sz w:val="20"/>
                <w:szCs w:val="20"/>
                <w:highlight w:val="none"/>
                <w:lang w:val="en-US" w:eastAsia="zh-CN" w:bidi="ar"/>
              </w:rPr>
              <w:t xml:space="preserve">池</w:t>
            </w:r>
            <w:r>
              <w:rPr>
                <w:rFonts w:hint="eastAsia" w:ascii="宋体" w:hAnsi="宋体" w:cs="宋体"/>
                <w:color w:val="auto"/>
                <w:sz w:val="20"/>
                <w:szCs w:val="20"/>
                <w:highlight w:val="none"/>
                <w:lang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2F-洗衣房</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2F-洗衣房</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万向罩</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框架台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2F-实验室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全钢通风柜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3F－前台大厅*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前台桌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3F－前台大厅*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办公椅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3F-洽谈等候区</w:t>
            </w:r>
            <w:bookmarkStart w:id="15" w:name="OLE_LINK2"/>
            <w:r/>
            <w:bookmarkStart w:id="16" w:name="OLE_LINK1"/>
            <w:r>
              <w:rPr>
                <w:rFonts w:hint="eastAsia" w:ascii="宋体" w:hAnsi="宋体" w:cs="宋体"/>
                <w:color w:val="auto"/>
                <w:sz w:val="20"/>
                <w:szCs w:val="20"/>
                <w:highlight w:val="none"/>
                <w:lang w:eastAsia="zh-CN" w:bidi="ar"/>
              </w:rPr>
              <w:t xml:space="preserve">*</w:t>
            </w:r>
            <w:bookmarkEnd w:id="15"/>
            <w:r/>
            <w:bookmarkEnd w:id="16"/>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3F-洽谈等候区*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3F-洽谈等候区*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3F-洽谈等候区*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3F-洽谈等候区*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3F-储藏室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办公桌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办公桌 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3F-操作间3/4/13/15*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办公椅 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3F-操作间3/4/13/15*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3F-操作间3/4/13/15*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文件柜（钢制木纹）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3F-操作间3/4/13/15*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3F-操作间3/4/13/15*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3F－操作间16-18*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办公桌 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3F－操作间16-18*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办公椅 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3F－操作间16-18*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3F－操作间16-18*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文件柜（钢制木纹）</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3F－操作间16-18*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3F－操作间16-18*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3F－大操作间 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沙发组合</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3F－大操作间 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3F－大操作间 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3F－报告编写区*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屏风办公桌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3F－报告编写区*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屏风办公桌 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3F－报告编写区*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办公椅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3F－报告编写区*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文件矮柜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3F－技术间2~6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办公桌 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3F－技术间2~6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办公椅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3F－技术间2~6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3F－技术间2~6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文件矮柜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3F－技术间1、7、8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洽谈桌 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3F－技术间1、7、8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洽谈椅 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3F－电话间1-6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3F－电话间1-6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3F-档案室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3F-档案室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办公桌 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3F-档案室</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3F-工作间 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文件矮柜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3F-质量管空间 2/3*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会议桌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3F-质量管空间 2/3*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3F-质量管空间 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会议桌 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3F-质量管空间 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3F－操作间5~8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双人办公桌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3F－操作间5~8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办公椅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3F－操作间5~8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3F－操作间 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培训椅（无写字板）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培训椅（带写字板）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3F-报告厅*</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3F－备用区 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六人位餐桌（一桌 6椅）</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3F－备用区 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 xml:space="preserve">餐边柜（人造石台面+不锈钢水槽+不锈钢龙头）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2F-200/400/500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不锈钢水池洗手池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不锈钢水池洗手池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不锈钢衣柜（带锁）</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4F-403/404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4F-403/404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4F-403/404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4F-408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4F-410/411/412/413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4F-410/411/412/413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4F-410/411/412/413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4F-410/411/412/413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4F-410/411/412/413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4F-410/411/412/413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百级层流罩</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不锈钢水池（中）</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4F-416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不锈钢收集桶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4F-422/421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不锈钢水池（中）</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不锈钢水池（大）</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不锈钢水池（大）</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4F-423/426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4F-428/429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4F-428/429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4F-428/429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不锈钢收集桶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4F-428/429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4F-440/441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4F-440/441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4F-440/441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4F-442/432/431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4F-468/469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4F-468/469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不锈钢水池（中）</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4F-468/469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不锈钢水池（大）</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4F-468/469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4F-474/475/476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4F-474/475/476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4F-474/475/476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4F-474/475/476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4F-474/475/476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4F-470/471/472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4F-470/471/472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4F-470/471/472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4F-470/471/472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4F-470/471/472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4F-478/479/480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4F-478/479/480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4F-478/479/480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4F-478/479/480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4F-478/479/480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4F-473/477/481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全钢中央台吊柜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全钢通风柜 VAV</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万向罩</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全钢中央台吊柜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全钢通风柜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万向罩</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步入式通风橱</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全钢中央台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中央台钢玻试剂架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全钢中央台吊柜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全钢通风柜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万向罩</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4F-447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4F-455~457</w:t>
            </w:r>
            <w:r>
              <w:rPr>
                <w:rFonts w:hint="eastAsia" w:ascii="宋体" w:hAnsi="宋体" w:cs="宋体"/>
                <w:color w:val="auto"/>
                <w:sz w:val="20"/>
                <w:szCs w:val="20"/>
                <w:highlight w:val="none"/>
                <w:lang w:eastAsia="zh-CN" w:bidi="ar"/>
              </w:rPr>
              <w:br/>
            </w:r>
            <w:r>
              <w:rPr>
                <w:rFonts w:hint="eastAsia" w:ascii="宋体" w:hAnsi="宋体" w:cs="宋体"/>
                <w:color w:val="auto"/>
                <w:sz w:val="20"/>
                <w:szCs w:val="20"/>
                <w:highlight w:val="none"/>
                <w:lang w:eastAsia="zh-CN" w:bidi="ar"/>
              </w:rPr>
              <w:t xml:space="preserve">/459~461/4 63~465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4F-455~457</w:t>
            </w:r>
            <w:r>
              <w:rPr>
                <w:rFonts w:hint="eastAsia" w:ascii="宋体" w:hAnsi="宋体" w:cs="宋体"/>
                <w:color w:val="auto"/>
                <w:sz w:val="20"/>
                <w:szCs w:val="20"/>
                <w:highlight w:val="none"/>
                <w:lang w:eastAsia="zh-CN" w:bidi="ar"/>
              </w:rPr>
              <w:br/>
            </w:r>
            <w:r>
              <w:rPr>
                <w:rFonts w:hint="eastAsia" w:ascii="宋体" w:hAnsi="宋体" w:cs="宋体"/>
                <w:color w:val="auto"/>
                <w:sz w:val="20"/>
                <w:szCs w:val="20"/>
                <w:highlight w:val="none"/>
                <w:lang w:eastAsia="zh-CN" w:bidi="ar"/>
              </w:rPr>
              <w:t xml:space="preserve">/459~461/4 63~465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4F-455~457</w:t>
            </w:r>
            <w:r>
              <w:rPr>
                <w:rFonts w:hint="eastAsia" w:ascii="宋体" w:hAnsi="宋体" w:cs="宋体"/>
                <w:color w:val="auto"/>
                <w:sz w:val="20"/>
                <w:szCs w:val="20"/>
                <w:highlight w:val="none"/>
                <w:lang w:eastAsia="zh-CN" w:bidi="ar"/>
              </w:rPr>
              <w:br/>
            </w:r>
            <w:r>
              <w:rPr>
                <w:rFonts w:hint="eastAsia" w:ascii="宋体" w:hAnsi="宋体" w:cs="宋体"/>
                <w:color w:val="auto"/>
                <w:sz w:val="20"/>
                <w:szCs w:val="20"/>
                <w:highlight w:val="none"/>
                <w:lang w:eastAsia="zh-CN" w:bidi="ar"/>
              </w:rPr>
              <w:t xml:space="preserve">/459~461/4 63~465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4F-455~457/459~461/4</w:t>
            </w:r>
            <w:r>
              <w:rPr>
                <w:rFonts w:hint="eastAsia" w:ascii="宋体" w:hAnsi="宋体" w:cs="宋体"/>
                <w:color w:val="auto"/>
                <w:sz w:val="20"/>
                <w:szCs w:val="20"/>
                <w:highlight w:val="none"/>
                <w:lang w:eastAsia="zh-CN" w:bidi="ar"/>
              </w:rPr>
              <w:br/>
            </w:r>
            <w:r>
              <w:rPr>
                <w:rFonts w:hint="eastAsia" w:ascii="宋体" w:hAnsi="宋体" w:cs="宋体"/>
                <w:color w:val="auto"/>
                <w:sz w:val="20"/>
                <w:szCs w:val="20"/>
                <w:highlight w:val="none"/>
                <w:lang w:eastAsia="zh-CN" w:bidi="ar"/>
              </w:rPr>
              <w:t xml:space="preserve">63~465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4F-455~457/459~461/4</w:t>
            </w:r>
            <w:r>
              <w:rPr>
                <w:rFonts w:hint="eastAsia" w:ascii="宋体" w:hAnsi="宋体" w:cs="宋体"/>
                <w:color w:val="auto"/>
                <w:sz w:val="20"/>
                <w:szCs w:val="20"/>
                <w:highlight w:val="none"/>
                <w:lang w:eastAsia="zh-CN" w:bidi="ar"/>
              </w:rPr>
              <w:br/>
            </w:r>
            <w:r>
              <w:rPr>
                <w:rFonts w:hint="eastAsia" w:ascii="宋体" w:hAnsi="宋体" w:cs="宋体"/>
                <w:color w:val="auto"/>
                <w:sz w:val="20"/>
                <w:szCs w:val="20"/>
                <w:highlight w:val="none"/>
                <w:lang w:eastAsia="zh-CN" w:bidi="ar"/>
              </w:rPr>
              <w:t xml:space="preserve">63~465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4F-458/462/466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4F-458/462/466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4F-458/462/466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边台钢玻试剂架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全钢边台吊柜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4F-452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5F-500/501/502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不锈钢水池（中）</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5F-500/501/502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不锈钢水池（大）</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5F-500/501/502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5F-504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5F-516~520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5F-516~520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5F-516~520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5F-516~520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5F-516~520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5F-516~520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5F-516~520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不锈钢收集桶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5F-521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不锈钢水池（大）</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5F-522/523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5F-522/523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5F-524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5F-527</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5F-513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5F-548/549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不锈钢水盆水龙头</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5F-548/549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5F-548/549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5F-548/549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万向罩</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5F-548/549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万向罩</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5F-539/540/541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5F-539/540/541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5F-539/540/541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5F-539/540/541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5F-539/540/541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不锈钢收集桶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5F-539/540/541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5F-539/540/541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5F-550/551/582/572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双面不锈钢换鞋凳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5F-550/551/582/572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5F-550/551/582/572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不锈钢衣柜</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5F-550/551/582/572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不锈钢水池（小）</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5F-550/551/582/572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5F-550/551/582/572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手消毒器</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5F-557/561/555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不锈钢水池洗手池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5F-571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不锈钢水池洗手池</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5F-555</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5F-571</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5F-566</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不锈钢水池（大）</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5F-574/576/577/579</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5F-573</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不锈钢操作桌</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5F-578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实验凳 PU</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不锈钢实验凳</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5F-503及1F</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办公桌 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5F-503及1F</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办公椅 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B 栋货架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详细参数附件</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0"/>
              <w:jc w:val="center"/>
              <w:keepNext/>
              <w:spacing w:line="240" w:lineRule="auto"/>
              <w:rPr>
                <w:rFonts w:ascii="宋体" w:hAnsi="宋体" w:cs="宋体"/>
                <w:color w:val="auto"/>
                <w:sz w:val="20"/>
                <w:szCs w:val="20"/>
                <w:highlight w:val="none"/>
              </w:rPr>
            </w:pPr>
            <w:r>
              <w:rPr>
                <w:rFonts w:hint="eastAsia" w:ascii="宋体" w:hAnsi="宋体" w:cs="宋体"/>
                <w:color w:val="auto"/>
                <w:sz w:val="20"/>
                <w:szCs w:val="20"/>
                <w:highlight w:val="none"/>
                <w:lang w:eastAsia="zh-CN" w:bidi="ar"/>
              </w:rPr>
              <w:t xml:space="preserve">工业（制造业）</w:t>
            </w:r>
            <w:r/>
          </w:p>
        </w:tc>
      </w:tr>
    </w:tbl>
    <w:p>
      <w:pPr>
        <w:ind w:firstLine="0"/>
        <w:rPr>
          <w:b/>
          <w:color w:val="auto"/>
          <w:highlight w:val="none"/>
          <w:lang w:eastAsia="zh-CN"/>
        </w:rPr>
      </w:pPr>
      <w:r>
        <w:rPr>
          <w:b/>
          <w:color w:val="auto"/>
          <w:highlight w:val="none"/>
          <w:lang w:eastAsia="zh-CN"/>
        </w:rPr>
      </w:r>
      <w:r/>
    </w:p>
    <w:p>
      <w:pPr>
        <w:ind w:firstLine="0"/>
        <w:rPr>
          <w:b/>
          <w:color w:val="auto"/>
          <w:highlight w:val="none"/>
          <w:lang w:eastAsia="zh-CN"/>
        </w:rPr>
      </w:pPr>
      <w:r>
        <w:rPr>
          <w:rFonts w:hint="eastAsia"/>
          <w:b/>
          <w:color w:val="auto"/>
          <w:highlight w:val="none"/>
          <w:lang w:eastAsia="zh-CN"/>
        </w:rPr>
        <w:t xml:space="preserve">（三）性能参数</w:t>
      </w:r>
      <w:r/>
    </w:p>
    <w:p>
      <w:pPr>
        <w:ind w:firstLine="482"/>
        <w:rPr>
          <w:b/>
          <w:color w:val="auto"/>
          <w:highlight w:val="none"/>
          <w:lang w:eastAsia="zh-CN"/>
        </w:rPr>
      </w:pPr>
      <w:r>
        <w:rPr>
          <w:rFonts w:hint="eastAsia"/>
          <w:b/>
          <w:color w:val="auto"/>
          <w:highlight w:val="none"/>
          <w:lang w:eastAsia="zh-CN"/>
        </w:rPr>
        <w:t xml:space="preserve">详见附件</w:t>
      </w:r>
      <w:r/>
    </w:p>
    <w:p>
      <w:pPr>
        <w:ind w:left="240" w:firstLine="0"/>
        <w:rPr>
          <w:rFonts w:ascii="宋体" w:hAnsi="宋体" w:cs="宋体"/>
          <w:bCs/>
          <w:color w:val="auto"/>
          <w:highlight w:val="none"/>
          <w:lang w:eastAsia="zh-CN"/>
        </w:rPr>
      </w:pPr>
      <w:r>
        <w:rPr>
          <w:rFonts w:hint="eastAsia" w:ascii="宋体" w:hAnsi="宋体" w:cs="宋体"/>
          <w:bCs/>
          <w:color w:val="auto"/>
          <w:highlight w:val="none"/>
          <w:lang w:eastAsia="zh-CN"/>
        </w:rPr>
        <w:t xml:space="preserve">注：1.投标供应商应对投标货物品牌、尺寸规格、颜色、材料、质量、性能等作出说明，提供所投产品的技术参数偏离表，按实际情况注明以上清单产品各项技术参数偏离情况（正偏离/满足/负偏离），技术要求偏离表不能违背真实的参数和指标。</w:t>
      </w:r>
      <w:r/>
    </w:p>
    <w:p>
      <w:pPr>
        <w:ind w:left="240" w:firstLine="0"/>
        <w:rPr>
          <w:rFonts w:ascii="宋体" w:hAnsi="宋体" w:cs="宋体"/>
          <w:bCs/>
          <w:color w:val="auto"/>
          <w:highlight w:val="none"/>
          <w:lang w:eastAsia="zh-CN"/>
        </w:rPr>
      </w:pPr>
      <w:r>
        <w:rPr>
          <w:rFonts w:hint="eastAsia" w:ascii="宋体" w:hAnsi="宋体" w:cs="宋体"/>
          <w:bCs/>
          <w:color w:val="auto"/>
          <w:highlight w:val="none"/>
          <w:lang w:eastAsia="zh-CN"/>
        </w:rPr>
        <w:t xml:space="preserve">2.项目需求中指出的工艺、材料和货物的标准以及参照的技术参数、图片或型号仅起说明作用，并没有任何限制性和排他性，投标供应商在投标中可以选用其他替代标准、技术参数或型号，但这些替代应以不影响产品质量或功能实现为前提。</w:t>
      </w:r>
      <w:r/>
    </w:p>
    <w:p>
      <w:pPr>
        <w:ind w:left="240" w:firstLine="0"/>
        <w:rPr>
          <w:rFonts w:ascii="宋体" w:hAnsi="宋体" w:cs="宋体"/>
          <w:bCs/>
          <w:color w:val="auto"/>
          <w:highlight w:val="none"/>
          <w:lang w:eastAsia="zh-CN"/>
        </w:rPr>
      </w:pPr>
      <w:r>
        <w:rPr>
          <w:rFonts w:hint="eastAsia" w:ascii="宋体" w:hAnsi="宋体" w:cs="宋体"/>
          <w:bCs/>
          <w:color w:val="auto"/>
          <w:highlight w:val="none"/>
          <w:lang w:eastAsia="zh-CN"/>
        </w:rPr>
        <w:t xml:space="preserve">3.项目需求中指出的技术标准与规范如有更新，应以最新的标准规范实施。</w:t>
      </w:r>
      <w:r/>
    </w:p>
    <w:p>
      <w:pPr>
        <w:ind w:left="240" w:firstLine="0"/>
        <w:rPr>
          <w:bCs/>
          <w:color w:val="auto"/>
          <w:highlight w:val="none"/>
          <w:lang w:eastAsia="zh-CN"/>
        </w:rPr>
      </w:pPr>
      <w:r>
        <w:rPr>
          <w:rFonts w:hint="eastAsia" w:ascii="宋体" w:hAnsi="宋体" w:cs="宋体"/>
          <w:bCs/>
          <w:color w:val="auto"/>
          <w:highlight w:val="none"/>
          <w:lang w:eastAsia="zh-CN"/>
        </w:rPr>
        <w:t xml:space="preserve">4.</w:t>
      </w:r>
      <w:r>
        <w:rPr>
          <w:rFonts w:hint="eastAsia" w:ascii="宋体" w:hAnsi="宋体" w:cs="宋体"/>
          <w:b/>
          <w:color w:val="auto"/>
          <w:highlight w:val="none"/>
          <w:lang w:eastAsia="zh-CN"/>
        </w:rPr>
        <w:t xml:space="preserve">所</w:t>
      </w:r>
      <w:r>
        <w:rPr>
          <w:rFonts w:hint="eastAsia"/>
          <w:b/>
          <w:color w:val="auto"/>
          <w:highlight w:val="none"/>
          <w:lang w:eastAsia="zh-CN"/>
        </w:rPr>
        <w:t xml:space="preserve">有采购家具产品，中标供应商均需经使用方确认最终的色样方可采购或制作，重点区域产品（详见清单中标注“*”的部分）需通过中标供应商提供的三维空间效果设计图进行确认。</w:t>
      </w:r>
      <w:r/>
    </w:p>
    <w:p>
      <w:pPr>
        <w:ind w:firstLine="0"/>
        <w:spacing w:after="5"/>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（四）主要产品相关执行标准及技术要求</w:t>
      </w:r>
      <w:r/>
    </w:p>
    <w:p>
      <w:pPr>
        <w:ind w:firstLine="480"/>
        <w:rPr>
          <w:rFonts w:ascii="宋体" w:hAnsi="宋体" w:cs="Times New Roman"/>
          <w:b/>
          <w:color w:val="auto"/>
          <w:szCs w:val="24"/>
          <w:highlight w:val="none"/>
        </w:rPr>
      </w:pPr>
      <w:r>
        <w:rPr>
          <w:rFonts w:hint="eastAsia" w:ascii="宋体" w:hAnsi="宋体" w:cs="Times New Roman"/>
          <w:bCs/>
          <w:color w:val="auto"/>
          <w:szCs w:val="24"/>
          <w:highlight w:val="none"/>
          <w:lang w:eastAsia="zh-CN"/>
        </w:rPr>
        <w:t xml:space="preserve">本项目中所有产品均须符合国家环保等相关标准，</w:t>
      </w:r>
      <w:r>
        <w:rPr>
          <w:rFonts w:hint="eastAsia" w:ascii="宋体" w:hAnsi="宋体" w:cs="Times New Roman"/>
          <w:b/>
          <w:color w:val="auto"/>
          <w:szCs w:val="24"/>
          <w:highlight w:val="none"/>
          <w:lang w:eastAsia="zh-CN"/>
        </w:rPr>
        <w:t xml:space="preserve">承诺中标后提供满足下列最低参数要求的检测报告，未提供承诺，视为无效投标文件。</w:t>
      </w:r>
      <w:r>
        <w:rPr>
          <w:rFonts w:hint="eastAsia" w:ascii="宋体" w:hAnsi="宋体" w:cs="Times New Roman"/>
          <w:b/>
          <w:color w:val="auto"/>
          <w:szCs w:val="24"/>
          <w:highlight w:val="none"/>
        </w:rPr>
        <w:t xml:space="preserve">承诺书格式自拟。</w:t>
      </w:r>
      <w:r/>
    </w:p>
    <w:tbl>
      <w:tblPr>
        <w:tblStyle w:val="860"/>
        <w:tblW w:w="10332"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2"/>
      </w:tblGrid>
      <w:tr>
        <w:trPr>
          <w:trHeight w:val="1699"/>
        </w:trPr>
        <w:tc>
          <w:tcPr>
            <w:tcBorders>
              <w:top w:val="single" w:color="000000" w:sz="4" w:space="0"/>
              <w:left w:val="single" w:color="000000" w:sz="4" w:space="0"/>
              <w:bottom w:val="single" w:color="000000" w:sz="4" w:space="0"/>
              <w:right w:val="single" w:color="000000" w:sz="4" w:space="0"/>
            </w:tcBorders>
            <w:tcW w:w="10332" w:type="dxa"/>
            <w:vAlign w:val="center"/>
            <w:textDirection w:val="lrTb"/>
            <w:noWrap w:val="false"/>
          </w:tcPr>
          <w:p>
            <w:pPr>
              <w:ind w:firstLine="0"/>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电解钢板（抽检）采用的检测标准：QB/T 4767-2014、GB/T 11253-2019、QB/T 3827-1999、QB/T 3832-1999。   </w:t>
            </w:r>
            <w:r/>
          </w:p>
          <w:p>
            <w:pPr>
              <w:ind w:firstLine="0"/>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检测内容包含</w:t>
            </w:r>
            <w:r>
              <w:rPr>
                <w:rFonts w:hint="eastAsia" w:ascii="宋体" w:hAnsi="宋体" w:cs="宋体"/>
                <w:color w:val="auto"/>
                <w:highlight w:val="none"/>
                <w:lang w:eastAsia="zh-CN"/>
              </w:rPr>
              <w:t xml:space="preserve">：涂层厚度≥60μm；屈服强度≥235MPa；抗拉强度≥370MPa；断后伸长率≥20%；乙酸盐雾试验300h，金属表面镀（涂）层本身耐腐蚀等级达到8级。</w:t>
            </w:r>
            <w:r/>
          </w:p>
        </w:tc>
      </w:tr>
      <w:tr>
        <w:trPr>
          <w:trHeight w:val="2758"/>
        </w:trPr>
        <w:tc>
          <w:tcPr>
            <w:tcBorders>
              <w:top w:val="single" w:color="000000" w:sz="4" w:space="0"/>
              <w:left w:val="single" w:color="000000" w:sz="4" w:space="0"/>
              <w:bottom w:val="single" w:color="000000" w:sz="4" w:space="0"/>
              <w:right w:val="single" w:color="000000" w:sz="4" w:space="0"/>
            </w:tcBorders>
            <w:tcW w:w="10332" w:type="dxa"/>
            <w:vAlign w:val="center"/>
            <w:textDirection w:val="lrTb"/>
            <w:noWrap w:val="false"/>
          </w:tcPr>
          <w:p>
            <w:pPr>
              <w:ind w:firstLine="0"/>
              <w:rPr>
                <w:rFonts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抗菌粉末（抽检）采用的检测标准：HG/T 2006-2022、GB 18584-2024、QB/T 4371-2012、GB/T 1741-2020。</w:t>
            </w:r>
            <w:r/>
          </w:p>
          <w:p>
            <w:pPr>
              <w:ind w:firstLine="0"/>
              <w:rPr>
                <w:rFonts w:ascii="宋体" w:hAnsi="宋体" w:cs="宋体"/>
                <w:color w:val="auto"/>
                <w:highlight w:val="none"/>
                <w:lang w:eastAsia="zh-CN"/>
              </w:rPr>
            </w:pPr>
            <w:r>
              <w:rPr>
                <w:rFonts w:hint="eastAsia" w:ascii="宋体" w:hAnsi="宋体" w:cs="宋体"/>
                <w:color w:val="auto"/>
                <w:highlight w:val="none"/>
                <w:lang w:val="en-US" w:eastAsia="zh-CN"/>
              </w:rPr>
              <w:t xml:space="preserve">检测内容包含</w:t>
            </w:r>
            <w:r>
              <w:rPr>
                <w:rFonts w:hint="eastAsia" w:ascii="宋体" w:hAnsi="宋体" w:cs="宋体"/>
                <w:color w:val="auto"/>
                <w:highlight w:val="none"/>
                <w:lang w:eastAsia="zh-CN"/>
              </w:rPr>
              <w:t xml:space="preserve">：耐湿热性≥100h无异常，附着力≤2级；有害物质限量的可迁移有害元素－铅（Pb）含量≤90mg/kg，镉（Cd）含量≤75mg/kg，铬（Cr）含量≤60mg/kg，汞（Hg）含量≤60mg/kg）；抑菌率（肺炎克雷伯氏菌，金黄色葡萄球菌， 大肠杆菌）＞99%；耐霉菌性等级（绳状青霉、出芽短梗霉、球毛壳霉、大毛霉、宛氏拟青霉）2级。</w:t>
            </w:r>
            <w:r/>
          </w:p>
        </w:tc>
      </w:tr>
      <w:tr>
        <w:trPr>
          <w:trHeight w:val="1309"/>
        </w:trPr>
        <w:tc>
          <w:tcPr>
            <w:tcBorders>
              <w:top w:val="single" w:color="000000" w:sz="4" w:space="0"/>
              <w:left w:val="single" w:color="000000" w:sz="4" w:space="0"/>
              <w:bottom w:val="single" w:color="auto" w:sz="4" w:space="0"/>
              <w:right w:val="single" w:color="000000" w:sz="4" w:space="0"/>
            </w:tcBorders>
            <w:tcW w:w="10332" w:type="dxa"/>
            <w:vAlign w:val="center"/>
            <w:textDirection w:val="lrTb"/>
            <w:noWrap w:val="false"/>
          </w:tcPr>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3</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304不锈钢（抽检）采用的检测标准：GB/T 13448-2019、GB/T 3280-2015、GB/T 10125-2021。</w:t>
            </w:r>
            <w:r/>
          </w:p>
          <w:p>
            <w:pPr>
              <w:ind w:firstLine="0"/>
              <w:rPr>
                <w:rFonts w:ascii="宋体" w:hAnsi="宋体" w:cs="宋体"/>
                <w:color w:val="auto"/>
                <w:highlight w:val="none"/>
                <w:lang w:eastAsia="zh-CN"/>
              </w:rPr>
            </w:pPr>
            <w:r>
              <w:rPr>
                <w:rFonts w:hint="eastAsia" w:ascii="宋体" w:hAnsi="宋体" w:cs="宋体"/>
                <w:color w:val="auto"/>
                <w:highlight w:val="none"/>
                <w:lang w:val="en-US" w:eastAsia="zh-CN"/>
              </w:rPr>
              <w:t xml:space="preserve">检测内容包含</w:t>
            </w:r>
            <w:r>
              <w:rPr>
                <w:rFonts w:hint="eastAsia" w:ascii="宋体" w:hAnsi="宋体" w:cs="宋体"/>
                <w:bCs/>
                <w:color w:val="auto"/>
                <w:szCs w:val="24"/>
                <w:highlight w:val="none"/>
                <w:lang w:eastAsia="zh-CN"/>
              </w:rPr>
              <w:t xml:space="preserve">：抗拉强度≥515 MPa；规定塑性延伸强度≥205 MPa；断后伸长率≥40%；维氏硬度≤210；乙酸盐雾试验360h，外观评级：8级，保护评级：8级</w:t>
            </w:r>
            <w:r>
              <w:rPr>
                <w:rFonts w:hint="eastAsia" w:ascii="宋体" w:hAnsi="宋体" w:cs="宋体"/>
                <w:color w:val="auto"/>
                <w:highlight w:val="none"/>
                <w:lang w:eastAsia="zh-CN"/>
              </w:rPr>
              <w:t xml:space="preserve">。</w:t>
            </w:r>
            <w:r/>
          </w:p>
        </w:tc>
      </w:tr>
      <w:tr>
        <w:trPr>
          <w:trHeight w:val="744"/>
        </w:trPr>
        <w:tc>
          <w:tcPr>
            <w:tcBorders>
              <w:top w:val="single" w:color="000000" w:sz="4" w:space="0"/>
              <w:left w:val="single" w:color="000000" w:sz="4" w:space="0"/>
              <w:bottom w:val="single" w:color="000000" w:sz="4" w:space="0"/>
              <w:right w:val="single" w:color="000000" w:sz="4" w:space="0"/>
            </w:tcBorders>
            <w:tcW w:w="10332" w:type="dxa"/>
            <w:textDirection w:val="lrTb"/>
            <w:noWrap w:val="false"/>
          </w:tcPr>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4.实芯理化板（抽检）采用的检测标准：QB/T 4456-2013。</w:t>
            </w:r>
            <w:r/>
          </w:p>
          <w:p>
            <w:pPr>
              <w:ind w:firstLine="0"/>
              <w:rPr>
                <w:rFonts w:ascii="宋体" w:hAnsi="宋体" w:cs="宋体"/>
                <w:color w:val="auto"/>
                <w:highlight w:val="none"/>
                <w:lang w:eastAsia="zh-CN"/>
              </w:rPr>
            </w:pPr>
            <w:r>
              <w:rPr>
                <w:rFonts w:hint="eastAsia" w:ascii="宋体" w:hAnsi="宋体" w:cs="宋体"/>
                <w:color w:val="auto"/>
                <w:highlight w:val="none"/>
                <w:lang w:val="en-US" w:eastAsia="zh-CN"/>
              </w:rPr>
              <w:t xml:space="preserve">检测内容包含</w:t>
            </w:r>
            <w:r>
              <w:rPr>
                <w:rFonts w:hint="eastAsia" w:ascii="宋体" w:hAnsi="宋体" w:cs="宋体"/>
                <w:color w:val="auto"/>
                <w:highlight w:val="none"/>
                <w:lang w:eastAsia="zh-CN"/>
              </w:rPr>
              <w:t xml:space="preserve">：表面耐磨性：磨耗值≤80mg/100r；静曲强度≥100 MPa；弹性模量≥10000 MPa；耐沸水：表面质量≥3级，厚度增加≤2%； 甲醛释放量≤0.12mg/m³；阻燃性：氧气指数＞35。</w:t>
            </w:r>
            <w:r/>
          </w:p>
        </w:tc>
      </w:tr>
      <w:tr>
        <w:trPr>
          <w:trHeight w:val="1385"/>
        </w:trPr>
        <w:tc>
          <w:tcPr>
            <w:tcBorders>
              <w:top w:val="single" w:color="000000" w:sz="4" w:space="0"/>
              <w:left w:val="single" w:color="000000" w:sz="4" w:space="0"/>
              <w:bottom w:val="single" w:color="000000" w:sz="4" w:space="0"/>
              <w:right w:val="single" w:color="000000" w:sz="4" w:space="0"/>
            </w:tcBorders>
            <w:tcW w:w="10332" w:type="dxa"/>
            <w:textDirection w:val="lrTb"/>
            <w:noWrap w:val="false"/>
          </w:tcPr>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5.铰链（抽检）采用的检测标准：QB/T 2189-2013、GB/T 10125-2021。</w:t>
            </w:r>
            <w:r/>
          </w:p>
          <w:p>
            <w:pPr>
              <w:ind w:firstLine="0"/>
              <w:rPr>
                <w:rFonts w:ascii="宋体" w:hAnsi="宋体" w:cs="宋体"/>
                <w:color w:val="auto"/>
                <w:highlight w:val="none"/>
                <w:lang w:eastAsia="zh-CN"/>
              </w:rPr>
            </w:pPr>
            <w:r>
              <w:rPr>
                <w:rFonts w:hint="eastAsia" w:ascii="宋体" w:hAnsi="宋体" w:cs="宋体"/>
                <w:color w:val="auto"/>
                <w:highlight w:val="none"/>
                <w:lang w:val="en-US" w:eastAsia="zh-CN"/>
              </w:rPr>
              <w:t xml:space="preserve">检测内容包含</w:t>
            </w:r>
            <w:r>
              <w:rPr>
                <w:rFonts w:hint="eastAsia" w:ascii="宋体" w:hAnsi="宋体" w:cs="宋体"/>
                <w:color w:val="auto"/>
                <w:highlight w:val="none"/>
                <w:lang w:eastAsia="zh-CN"/>
              </w:rPr>
              <w:t xml:space="preserve">：耐久试验前打开力≤20N；耐久试验前关闭力≤20N；耐久试验后打开力≤20N；耐久试验后关闭力≤20N；下</w:t>
            </w:r>
            <w:r>
              <w:rPr>
                <w:rFonts w:hint="eastAsia" w:ascii="宋体" w:hAnsi="宋体" w:cs="宋体"/>
                <w:color w:val="auto"/>
                <w:highlight w:val="none"/>
                <w:lang w:val="en-US" w:eastAsia="zh-CN"/>
              </w:rPr>
              <w:t xml:space="preserve">沉</w:t>
            </w:r>
            <w:r>
              <w:rPr>
                <w:rFonts w:hint="eastAsia" w:ascii="宋体" w:hAnsi="宋体" w:cs="宋体"/>
                <w:color w:val="auto"/>
                <w:highlight w:val="none"/>
                <w:lang w:eastAsia="zh-CN"/>
              </w:rPr>
              <w:t xml:space="preserve">量≤2mm；乙酸盐雾试验360h，外观评级：8级，保护评级：8级。</w:t>
            </w:r>
            <w:r/>
          </w:p>
        </w:tc>
      </w:tr>
    </w:tbl>
    <w:p>
      <w:pPr>
        <w:ind w:left="240" w:firstLine="0"/>
        <w:spacing w:before="120"/>
        <w:rPr>
          <w:rFonts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w:t>
      </w:r>
      <w:r>
        <w:rPr>
          <w:rFonts w:hint="eastAsia" w:ascii="宋体" w:hAnsi="宋体" w:cs="Times New Roman"/>
          <w:b/>
          <w:bCs/>
          <w:color w:val="auto"/>
          <w:szCs w:val="24"/>
          <w:highlight w:val="none"/>
          <w:lang w:eastAsia="zh-CN"/>
        </w:rPr>
        <w:t xml:space="preserve">四</w:t>
      </w:r>
      <w:r>
        <w:rPr>
          <w:rFonts w:hint="eastAsia" w:ascii="宋体" w:hAnsi="宋体" w:cs="Times New Roman"/>
          <w:b/>
          <w:bCs/>
          <w:color w:val="auto"/>
          <w:szCs w:val="24"/>
          <w:highlight w:val="none"/>
          <w:lang w:val="zh-CN" w:eastAsia="zh-CN"/>
        </w:rPr>
        <w:t xml:space="preserve">）售后服务要求</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1.投标供应商应对任何由于不当包装或防护措施不力而导致的商品损坏、损失、锈蚀、费用增长等后果负责。</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2.免费保修期要求在3年及以上。免费保修期内，如果有因质量问题而引起的损坏，中标供应商应对产品予以维修或更换，全部服务费和更换产品或配件的费用由中标供应商承担，中标供应商如不能修理或不能调换，按产品原价赔偿处理。</w:t>
      </w:r>
      <w:r/>
    </w:p>
    <w:p>
      <w:pPr>
        <w:numPr>
          <w:ilvl w:val="255"/>
          <w:numId w:val="0"/>
        </w:numPr>
        <w:ind w:firstLine="482"/>
        <w:rPr>
          <w:rFonts w:ascii="宋体" w:hAnsi="宋体" w:cs="宋体"/>
          <w:b/>
          <w:bCs/>
          <w:color w:val="auto"/>
          <w:highlight w:val="none"/>
          <w:lang w:val="zh-CN" w:eastAsia="zh-CN"/>
        </w:rPr>
      </w:pPr>
      <w:r>
        <w:rPr>
          <w:rFonts w:hint="eastAsia" w:ascii="宋体" w:hAnsi="宋体" w:cs="宋体"/>
          <w:b/>
          <w:bCs/>
          <w:color w:val="auto"/>
          <w:highlight w:val="none"/>
          <w:lang w:val="zh-CN" w:eastAsia="zh-CN"/>
        </w:rPr>
        <w:t xml:space="preserve">质保期内因制造缺陷、材料或工艺问题导致但不限于以下故障，中标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lang w:val="zh-CN" w:eastAsia="zh-CN"/>
        </w:rPr>
        <w:t xml:space="preserve">须免费更换：</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①台面类：腐蚀破损（≥1cm²）、承重变形或翘边（形变≥2mm）、渗液、变色（色差 ΔE≥3）等；</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②通风柜类：气体泄漏＞0.5ppm、风机风量＜80%额定值、视窗卡顿/脱落、导流板变形；</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③柜体类：表面涂层剥落（≥1cm²）、层板变形（在额定承重内）、密封条老化失效、锁具失灵；</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④结构类：框架变形（倾斜≥2°）、支脚松动/断裂、水槽/试剂架连接处漏水；</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⑤五金配件：铰链/滑轨锈蚀卡顿、水龙头/阀门漏水、同部位维修两次仍故障；</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⑥其他专项：危化品柜等通风不合格、实验凳升降失效或脚轮卡死等。</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保修期自验收签字之日起计算。保修期满前1个月内中标供应商应负责一次免费全面检查，并写出正式报告，如发现潜在问题，应负责排除。</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3.维修响应时间：中标供应商应在24小时内对用户的服务要求做出响应，一般问题在48小时内解决，重大问题或其他无法立刻解决的问题应在一周内解决或提出明确的解决方案，否则中标供应商应赔偿相应的损失。</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4</w:t>
      </w:r>
      <w:r>
        <w:rPr>
          <w:rFonts w:hint="eastAsia" w:ascii="宋体" w:hAnsi="宋体" w:cs="宋体"/>
          <w:color w:val="auto"/>
          <w:highlight w:val="none"/>
          <w:lang w:eastAsia="zh-CN"/>
        </w:rPr>
        <w:t xml:space="preserve">.免费保修期后，继续支持维修，并按成本价标准收取维修及零件费用。在质保期内发生故障，在设备维修好后，质保期顺延</w:t>
      </w:r>
      <w:r>
        <w:rPr>
          <w:rFonts w:hint="eastAsia" w:ascii="宋体" w:hAnsi="宋体" w:cs="宋体"/>
          <w:color w:val="auto"/>
          <w:highlight w:val="none"/>
          <w:lang w:val="zh-CN" w:eastAsia="zh-CN"/>
        </w:rPr>
        <w:t xml:space="preserve">。</w:t>
      </w:r>
      <w:r/>
    </w:p>
    <w:p>
      <w:pPr>
        <w:numPr>
          <w:ilvl w:val="255"/>
          <w:numId w:val="0"/>
        </w:numPr>
        <w:ind w:firstLine="482"/>
        <w:rPr>
          <w:color w:val="auto"/>
          <w:highlight w:val="none"/>
          <w:lang w:val="zh-CN" w:eastAsia="zh-CN"/>
        </w:rPr>
      </w:pPr>
      <w:r>
        <w:rPr>
          <w:rFonts w:hint="eastAsia" w:ascii="宋体" w:hAnsi="宋体" w:cs="宋体"/>
          <w:b/>
          <w:bCs/>
          <w:color w:val="auto"/>
          <w:highlight w:val="none"/>
          <w:lang w:val="zh-CN" w:eastAsia="zh-CN"/>
        </w:rPr>
        <w:t xml:space="preserve">5</w:t>
      </w:r>
      <w:r>
        <w:rPr>
          <w:rFonts w:hint="eastAsia" w:ascii="宋体" w:hAnsi="宋体" w:cs="宋体"/>
          <w:b/>
          <w:bCs/>
          <w:color w:val="auto"/>
          <w:highlight w:val="none"/>
          <w:lang w:eastAsia="zh-CN"/>
        </w:rPr>
        <w:t xml:space="preserve">.</w:t>
      </w:r>
      <w:r>
        <w:rPr>
          <w:rFonts w:hint="eastAsia" w:ascii="宋体" w:hAnsi="宋体" w:cs="宋体"/>
          <w:b/>
          <w:color w:val="auto"/>
          <w:szCs w:val="24"/>
          <w:highlight w:val="none"/>
          <w:lang w:eastAsia="zh-CN"/>
        </w:rPr>
        <w:t xml:space="preserve">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等内容</w:t>
      </w:r>
      <w:r>
        <w:rPr>
          <w:rFonts w:hint="eastAsia"/>
          <w:color w:val="auto"/>
          <w:highlight w:val="none"/>
          <w:lang w:val="zh-CN" w:eastAsia="zh-CN"/>
        </w:rPr>
        <w:t xml:space="preserve">。</w:t>
      </w:r>
      <w:r/>
    </w:p>
    <w:p>
      <w:pPr>
        <w:ind w:left="240" w:firstLine="0"/>
        <w:rPr>
          <w:rFonts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（五）安装调试及验收</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1.投标供应商应在设备到货前1天安排人员到现场进行安装卸货前协调工作，安装完成后对水、电、排风等进行调试，直到设备正常使用。</w:t>
      </w:r>
      <w:r/>
    </w:p>
    <w:p>
      <w:pPr>
        <w:numPr>
          <w:ilvl w:val="255"/>
          <w:numId w:val="0"/>
        </w:numPr>
        <w:ind w:firstLine="480"/>
        <w:rPr>
          <w:rFonts w:hint="eastAsia" w:ascii="宋体" w:hAnsi="宋体" w:cs="宋体"/>
          <w:color w:val="auto"/>
          <w:highlight w:val="none"/>
          <w:lang w:val="en-US" w:eastAsia="zh-CN"/>
        </w:rPr>
      </w:pPr>
      <w:r>
        <w:rPr>
          <w:rFonts w:hint="eastAsia" w:ascii="宋体" w:hAnsi="宋体" w:cs="宋体"/>
          <w:color w:val="auto"/>
          <w:highlight w:val="none"/>
          <w:lang w:val="zh-CN" w:eastAsia="zh-CN"/>
        </w:rPr>
        <w:t xml:space="preserve">2.根据项目实际使用需要，为确保设备正常运行及实验室家具、办公家具的配套用电，供应商须负责完成所有必要的配套电气线路布设、管线敷设、插座安装等相关工作内容，包括但不限于：为相关设备提供电源接入</w:t>
      </w:r>
      <w:r>
        <w:rPr>
          <w:rFonts w:hint="eastAsia" w:ascii="宋体" w:hAnsi="宋体" w:cs="宋体"/>
          <w:color w:val="auto"/>
          <w:highlight w:val="none"/>
          <w:lang w:val="en-US" w:eastAsia="zh-CN"/>
        </w:rPr>
        <w:t xml:space="preserve">，</w:t>
      </w:r>
      <w:r>
        <w:rPr>
          <w:rFonts w:hint="eastAsia" w:ascii="宋体" w:hAnsi="宋体" w:cs="宋体"/>
          <w:color w:val="auto"/>
          <w:highlight w:val="none"/>
          <w:lang w:val="zh-CN" w:eastAsia="zh-CN"/>
        </w:rPr>
        <w:t xml:space="preserve">为实验室家具和办公家具敷设配套的电线管路，按照使用需求配置相应的插座、线路接驳、布线及辅材等。上述工作内容均应包含在本次采购范围内，相关费用由供应商一并计入投标总报价，不得以任何理由提出额外费用或拒绝实施。</w:t>
      </w:r>
      <w:r>
        <w:rPr>
          <w:rFonts w:hint="eastAsia" w:ascii="宋体" w:hAnsi="宋体" w:cs="宋体"/>
          <w:color w:val="auto"/>
          <w:highlight w:val="none"/>
          <w:lang w:val="en-US" w:eastAsia="zh-CN"/>
        </w:rPr>
        <w:t xml:space="preserve"> </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lang w:val="zh-CN" w:eastAsia="zh-CN"/>
        </w:rPr>
        <w:t xml:space="preserve">由采购人按合同和招标、投标文件约定的要求和标准及中华人民共和国现行的验收规范和评定标准进行交货验收。</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val="zh-CN" w:eastAsia="zh-CN"/>
        </w:rPr>
        <w:t xml:space="preserve">.投标供应商货物经过双方检验认可后，签署验收报告，产品保修期自验收合格之日起算，由投标供应商提供产品保修文件。</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4.验收标准：</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（1）设备全新，外观无伤痕变形或明显修饰痕迹。</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（3）技术文件资料、备件等已按规定数量移交完毕。</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（4）按照招标文件要求及投标文件提供的技术要求验收必须合格。</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5）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（6）货物具备产品合格证。</w:t>
      </w:r>
      <w:r/>
    </w:p>
    <w:p>
      <w:pPr>
        <w:numPr>
          <w:ilvl w:val="255"/>
          <w:numId w:val="0"/>
        </w:numPr>
        <w:ind w:firstLine="480"/>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（7）在货物安装调试合格后，所有技术指标达到技术规范要求，经验收合格后，双方共同签署验收报告。</w:t>
      </w:r>
      <w:r/>
    </w:p>
    <w:p>
      <w:pPr>
        <w:ind w:firstLine="480"/>
        <w:rPr>
          <w:color w:val="auto"/>
          <w:highlight w:val="none"/>
          <w:lang w:eastAsia="zh-CN"/>
        </w:rPr>
      </w:pPr>
      <w:r>
        <w:rPr>
          <w:rFonts w:hint="eastAsia" w:ascii="宋体" w:hAnsi="宋体" w:cs="宋体"/>
          <w:color w:val="auto"/>
          <w:highlight w:val="none"/>
          <w:lang w:val="zh-CN" w:eastAsia="zh-CN"/>
        </w:rPr>
        <w:t xml:space="preserve">5.投标供应商在中标后，采购人有权要求中标人提供投标文件内全部产品报告、证书等证明材料复印件并加盖原厂公章原件给采购人，如不能满足，采购人有权终止合同，并依法追究</w:t>
      </w:r>
      <w:r>
        <w:rPr>
          <w:rFonts w:hint="eastAsia"/>
          <w:color w:val="auto"/>
          <w:highlight w:val="none"/>
          <w:lang w:val="zh-CN" w:eastAsia="zh-CN"/>
        </w:rPr>
        <w:t xml:space="preserve">其责任。</w:t>
      </w:r>
      <w:r/>
    </w:p>
    <w:p>
      <w:pPr>
        <w:ind w:right="-143" w:firstLine="0"/>
        <w:rPr>
          <w:color w:val="auto"/>
          <w:highlight w:val="none"/>
          <w:lang w:eastAsia="zh-CN"/>
        </w:rPr>
      </w:pPr>
      <w:r>
        <w:rPr>
          <w:rFonts w:hint="eastAsia"/>
          <w:b/>
          <w:color w:val="auto"/>
          <w:highlight w:val="none"/>
          <w:lang w:eastAsia="zh-CN"/>
        </w:rPr>
        <w:t xml:space="preserve">（六）其他有关说明</w:t>
      </w:r>
      <w:r/>
    </w:p>
    <w:p>
      <w:pPr>
        <w:ind w:firstLine="360"/>
        <w:rPr>
          <w:rFonts w:ascii="宋体" w:hAnsi="宋体" w:cs="宋体"/>
          <w:color w:val="auto"/>
          <w:highlight w:val="none"/>
          <w:lang w:eastAsia="zh-CN"/>
        </w:rPr>
      </w:pPr>
      <w:r>
        <w:rPr>
          <w:rFonts w:hint="eastAsia" w:ascii="宋体" w:hAnsi="宋体" w:cs="宋体"/>
          <w:color w:val="auto"/>
          <w:highlight w:val="none"/>
          <w:lang w:eastAsia="zh-CN"/>
        </w:rPr>
        <w:t xml:space="preserve">1.投标总报价包括满足本项目要求的所有产品及其配件、包装、运杂、安装调试及售后服务等从项目中标起到项目正式交付以及质保期内所发生的一切费用。</w:t>
      </w:r>
      <w:r/>
    </w:p>
    <w:p>
      <w:pPr>
        <w:ind w:firstLine="360"/>
        <w:rPr>
          <w:rFonts w:ascii="宋体" w:hAnsi="宋体" w:cs="宋体"/>
          <w:color w:val="auto"/>
          <w:highlight w:val="none"/>
          <w:lang w:eastAsia="zh-CN"/>
        </w:rPr>
      </w:pPr>
      <w:r>
        <w:rPr>
          <w:rFonts w:hint="eastAsia" w:ascii="宋体" w:hAnsi="宋体" w:cs="宋体"/>
          <w:color w:val="auto"/>
          <w:highlight w:val="none"/>
          <w:lang w:eastAsia="zh-CN"/>
        </w:rPr>
        <w:t xml:space="preserve">2.通过中国海关报关验放进入中国境内且产自中国境外的产品不在本项目的报价范围。</w:t>
      </w:r>
      <w:r/>
    </w:p>
    <w:p>
      <w:pPr>
        <w:ind w:firstLine="360"/>
        <w:rPr>
          <w:rFonts w:ascii="宋体" w:hAnsi="宋体" w:cs="宋体"/>
          <w:color w:val="auto"/>
          <w:highlight w:val="none"/>
          <w:lang w:eastAsia="zh-CN"/>
        </w:rPr>
      </w:pPr>
      <w:r>
        <w:rPr>
          <w:rFonts w:hint="eastAsia" w:ascii="宋体" w:hAnsi="宋体" w:cs="宋体"/>
          <w:color w:val="auto"/>
          <w:highlight w:val="none"/>
          <w:lang w:eastAsia="zh-CN"/>
        </w:rPr>
        <w:t xml:space="preserve">3.投标供应商必须在满足招标文件要求的基础上进行报价，如有技术偏离请于投标偏离表中说明。</w:t>
      </w:r>
      <w:r/>
    </w:p>
    <w:p>
      <w:pPr>
        <w:ind w:firstLine="360"/>
        <w:rPr>
          <w:rFonts w:ascii="宋体" w:hAnsi="宋体" w:cs="宋体"/>
          <w:color w:val="auto"/>
          <w:highlight w:val="none"/>
          <w:lang w:eastAsia="zh-CN"/>
        </w:rPr>
      </w:pPr>
      <w:r>
        <w:rPr>
          <w:rFonts w:hint="eastAsia" w:ascii="宋体" w:hAnsi="宋体" w:cs="宋体"/>
          <w:color w:val="auto"/>
          <w:highlight w:val="none"/>
          <w:lang w:eastAsia="zh-CN"/>
        </w:rPr>
        <w:t xml:space="preserve">4.本项目合同履行地点：无锡市南京大学锡山应用生物技术研究所，具体地点以合同书约定为准。中标供应商必须按采购人要求将本项目中货物送到指定地点（包括可能的分布范围），并实施安装调试。</w:t>
      </w:r>
      <w:r/>
    </w:p>
    <w:p>
      <w:pPr>
        <w:ind w:firstLine="360"/>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hint="eastAsia" w:ascii="宋体" w:hAnsi="宋体" w:cs="宋体"/>
          <w:b/>
          <w:bCs/>
          <w:color w:val="auto"/>
          <w:highlight w:val="none"/>
          <w:lang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360"/>
        <w:rPr>
          <w:rFonts w:ascii="宋体" w:hAnsi="宋体" w:cs="宋体"/>
          <w:color w:val="auto"/>
          <w:highlight w:val="none"/>
          <w:lang w:eastAsia="zh-CN"/>
        </w:rPr>
      </w:pPr>
      <w:r>
        <w:rPr>
          <w:rFonts w:hint="eastAsia" w:ascii="宋体" w:hAnsi="宋体" w:cs="宋体"/>
          <w:color w:val="auto"/>
          <w:highlight w:val="none"/>
          <w:lang w:eastAsia="zh-CN"/>
        </w:rPr>
        <w:t xml:space="preserve">6.采购人将对中标供应商的生产厂家进行现场考察，若发现中标供应商不具备生产供货能力或存在弄虚作假等情况，采购人有权提请采购管理部门作出相应处理。</w:t>
      </w:r>
      <w:r/>
    </w:p>
    <w:p>
      <w:pPr>
        <w:ind w:firstLine="361"/>
        <w:rPr>
          <w:rFonts w:ascii="宋体" w:hAnsi="宋体" w:cs="宋体"/>
          <w:b/>
          <w:bCs/>
          <w:color w:val="auto"/>
          <w:highlight w:val="none"/>
          <w:lang w:eastAsia="zh-CN"/>
        </w:rPr>
      </w:pPr>
      <w:r>
        <w:rPr>
          <w:rFonts w:hint="eastAsia" w:ascii="宋体" w:hAnsi="宋体" w:cs="宋体"/>
          <w:b/>
          <w:bCs/>
          <w:color w:val="auto"/>
          <w:highlight w:val="none"/>
          <w:lang w:eastAsia="zh-CN"/>
        </w:rPr>
        <w:t xml:space="preserve">7.出现以下情况之一的，采购人有权依照法律程序解除合同，并追究中标供应商的法律责任，并提请采购管理部门作出相应处理，并赔偿采购人因此产生的误期违约损失：</w:t>
      </w:r>
      <w:r/>
    </w:p>
    <w:p>
      <w:pPr>
        <w:ind w:firstLine="361"/>
        <w:rPr>
          <w:rFonts w:ascii="宋体" w:hAnsi="宋体" w:cs="宋体"/>
          <w:b/>
          <w:bCs/>
          <w:color w:val="auto"/>
          <w:highlight w:val="none"/>
          <w:lang w:eastAsia="zh-CN"/>
        </w:rPr>
      </w:pPr>
      <w:r>
        <w:rPr>
          <w:rFonts w:hint="eastAsia" w:ascii="宋体" w:hAnsi="宋体" w:cs="宋体"/>
          <w:b/>
          <w:bCs/>
          <w:color w:val="auto"/>
          <w:highlight w:val="none"/>
          <w:lang w:eastAsia="zh-CN"/>
        </w:rPr>
        <w:t xml:space="preserve">（1）合同履行过程中，采购人有权对中标供应商</w:t>
      </w:r>
      <w:r>
        <w:rPr>
          <w:rFonts w:hint="eastAsia" w:ascii="宋体" w:hAnsi="宋体" w:cs="宋体"/>
          <w:b/>
          <w:bCs/>
          <w:color w:val="auto"/>
          <w:highlight w:val="none"/>
          <w:lang w:eastAsia="zh-CN"/>
        </w:rPr>
        <w:t xml:space="preserve">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r/>
    </w:p>
    <w:p>
      <w:pPr>
        <w:ind w:firstLine="361"/>
        <w:rPr>
          <w:rFonts w:ascii="宋体" w:hAnsi="宋体" w:cs="宋体"/>
          <w:b/>
          <w:bCs/>
          <w:color w:val="auto"/>
          <w:highlight w:val="none"/>
          <w:lang w:eastAsia="zh-CN"/>
        </w:rPr>
      </w:pPr>
      <w:r>
        <w:rPr>
          <w:rFonts w:hint="eastAsia" w:ascii="宋体" w:hAnsi="宋体" w:cs="宋体"/>
          <w:b/>
          <w:bCs/>
          <w:color w:val="auto"/>
          <w:highlight w:val="none"/>
          <w:lang w:eastAsia="zh-CN"/>
        </w:rPr>
        <w:t xml:space="preserve">（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r/>
    </w:p>
    <w:p>
      <w:pPr>
        <w:ind w:firstLine="361"/>
        <w:rPr>
          <w:rFonts w:ascii="宋体" w:hAnsi="宋体" w:cs="宋体"/>
          <w:color w:val="auto"/>
          <w:highlight w:val="none"/>
          <w:lang w:eastAsia="zh-CN"/>
        </w:rPr>
      </w:pPr>
      <w:r>
        <w:rPr>
          <w:rFonts w:hint="eastAsia" w:ascii="宋体" w:hAnsi="宋体" w:cs="宋体"/>
          <w:b/>
          <w:bCs/>
          <w:color w:val="auto"/>
          <w:highlight w:val="none"/>
          <w:lang w:eastAsia="zh-CN"/>
        </w:rPr>
        <w:t xml:space="preserve">（3）中标供应商所供货物必须按采购文件及投标文件中约定的实际参数进行供货，货物运送到场地后，采购人有权委托第三方法定检</w:t>
      </w:r>
      <w:r>
        <w:rPr>
          <w:rFonts w:hint="eastAsia" w:ascii="宋体" w:hAnsi="宋体" w:cs="宋体"/>
          <w:b/>
          <w:bCs/>
          <w:color w:val="auto"/>
          <w:highlight w:val="none"/>
          <w:lang w:eastAsia="zh-CN"/>
        </w:rPr>
        <w:t xml:space="preserve">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r/>
    </w:p>
    <w:p>
      <w:pPr>
        <w:ind w:firstLine="360"/>
        <w:rPr>
          <w:rFonts w:ascii="宋体" w:hAnsi="宋体" w:cs="宋体"/>
          <w:color w:val="auto"/>
          <w:highlight w:val="none"/>
          <w:lang w:eastAsia="zh-CN"/>
        </w:rPr>
      </w:pPr>
      <w:r>
        <w:rPr>
          <w:rFonts w:hint="eastAsia" w:ascii="宋体" w:hAnsi="宋体" w:cs="宋体"/>
          <w:color w:val="auto"/>
          <w:highlight w:val="none"/>
          <w:lang w:eastAsia="zh-CN"/>
        </w:rPr>
        <w:t xml:space="preserve">8.履约保证金：本项目收取履约保证金，详见合同条款</w:t>
      </w:r>
      <w:r>
        <w:rPr>
          <w:rFonts w:hint="eastAsia"/>
          <w:color w:val="auto"/>
          <w:highlight w:val="none"/>
          <w:lang w:eastAsia="zh-CN"/>
        </w:rPr>
        <w:t xml:space="preserve">。</w:t>
      </w:r>
      <w:r/>
    </w:p>
    <w:p>
      <w:pPr>
        <w:ind w:firstLine="0"/>
        <w:spacing w:line="240" w:lineRule="auto"/>
        <w:rPr>
          <w:color w:val="auto"/>
          <w:highlight w:val="none"/>
          <w:lang w:eastAsia="zh-CN"/>
        </w:rPr>
      </w:pPr>
      <w:r>
        <w:rPr>
          <w:color w:val="auto"/>
          <w:highlight w:val="none"/>
          <w:lang w:eastAsia="zh-CN"/>
        </w:rPr>
        <w:br w:type="page" w:clear="all"/>
      </w:r>
      <w:r/>
    </w:p>
    <w:p>
      <w:pPr>
        <w:jc w:val="left"/>
        <w:spacing w:line="24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lang w:val="zh-CN"/>
        </w:rPr>
        <w:t xml:space="preserve">商品包装政府采购需求标准（ 试行）</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一、适用范围</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本标准规定了商品使用的塑料、纸质、木质等包装材料的环保要求。</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二、商品包装环保要求</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1.商品包装层数不得超过3层，空隙率不大于40%；</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2.商品包装尽可能使用单一材质的包装材料，如因功能需求必须使用不同材质，不同材质间应便于分离；</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3.商品包装中铅、汞、镉、六价铬的总含量应不大于100mg/kg；</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4.商品包装印刷使用的油墨中挥发性有机化合物（VOCs）含量应不大于5g（以重量计）；</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5.塑料材质商品包装上呈现的印刷颜色不得超过 6色；</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6.纸质商品包装应使用75%以上的可再生纤维原料生产；</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7.木质商品包装的原料应来源于可持续性森林。</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三、检测方法</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1.商品包装中重金属（铅、汞、铜、六价铬）总量的检测按照 GB/T 10004-2008《包装用塑料复合膜、袋干法复合</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挤出复合》规定的方法进行。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附件2：</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快递包装政府采购需求标准（试行）</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一、适用范围</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本标准中的快递包装主要指快递封装材料，包括封套、胶带、面单、包装袋/箱、填充物、集装袋、周转箱等。</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二、快递包装环保要求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 （铅、汞、锡、六价铬） 总量应不大于100mg/kg；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2.快递包装印刷使用的油墨中不应添加邻苯二甲酸酐，其挥发性有机化合物（VOCs）含量应不大于5g（以重量计）；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7.快递中使用的集装袋应为单一材质制成，其重复使用次数应不小于80 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8.快递中应使用幅宽不大于45mm 的生物降解胶带；</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9.快递包装中不得使用溶剂型</w:t>
      </w:r>
      <w:r>
        <w:rPr>
          <w:rFonts w:hint="eastAsia" w:ascii="宋体" w:hAnsi="宋体" w:cs="宋体"/>
          <w:color w:val="auto"/>
          <w:sz w:val="24"/>
          <w:szCs w:val="24"/>
          <w:highlight w:val="none"/>
          <w:lang w:val="zh-CN"/>
        </w:rPr>
        <w:t xml:space="preserve">胶黏剂</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10.快递应使用电子面单；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12.快递包装产品质量和封装方式应符合相关国家或行业标准技术指标要求。</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三、检测方法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宋体" w:cs="宋体"/>
          <w:color w:val="auto"/>
          <w:sz w:val="32"/>
          <w:szCs w:val="32"/>
          <w:highlight w:val="none"/>
        </w:rPr>
      </w:pPr>
      <w:r>
        <w:rPr>
          <w:rFonts w:hint="eastAsia" w:ascii="宋体" w:hAnsi="宋体" w:eastAsia="宋体" w:cs="宋体"/>
          <w:color w:val="auto"/>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rPr>
          <w:rFonts w:hint="eastAsia" w:ascii="宋体" w:hAnsi="宋体" w:cs="宋体"/>
          <w:color w:val="auto"/>
          <w:sz w:val="24"/>
          <w:szCs w:val="24"/>
          <w:highlight w:val="none"/>
          <w:lang w:val="zh-CN"/>
        </w:rPr>
        <w:t xml:space="preserve">。</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0"/>
        <w:jc w:val="left"/>
        <w:widowControl/>
        <w:rPr>
          <w:rFonts w:hint="eastAsia" w:ascii="宋体" w:hAnsi="宋体" w:eastAsia="等线" w:cs="Times New Roman"/>
          <w:b/>
          <w:color w:val="auto"/>
          <w:sz w:val="30"/>
          <w:szCs w:val="30"/>
          <w:highlight w:val="none"/>
          <w:lang w:eastAsia="zh-CN"/>
        </w:rPr>
      </w:pPr>
      <w:r>
        <w:rPr>
          <w:rFonts w:hint="eastAsia" w:ascii="宋体" w:hAnsi="宋体" w:eastAsia="等线" w:cs="Times New Roman"/>
          <w:b/>
          <w:color w:val="auto"/>
          <w:sz w:val="30"/>
          <w:szCs w:val="30"/>
          <w:highlight w:val="none"/>
          <w:lang w:eastAsia="zh-CN"/>
        </w:rPr>
        <w:br w:type="page" w:clear="all"/>
      </w:r>
      <w:r/>
    </w:p>
    <w:p>
      <w:pPr>
        <w:ind w:firstLine="0"/>
        <w:jc w:val="both"/>
        <w:widowControl w:val="off"/>
        <w:tabs>
          <w:tab w:val="left" w:pos="525" w:leader="none"/>
          <w:tab w:val="left" w:pos="630" w:leader="none"/>
          <w:tab w:val="left" w:pos="735" w:leader="none"/>
          <w:tab w:val="left" w:pos="945" w:leader="none"/>
        </w:tabs>
        <w:rPr>
          <w:rFonts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 xml:space="preserve">附：政府采购政策（包括但不限于下列具体政策要求）</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jc w:val="both"/>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eastAsia="zh-CN"/>
        </w:rPr>
        <w:t xml:space="preserve">2.依据财政部、发展改革委发布的《节能产品政府采购品目清单》，本项目中</w:t>
      </w:r>
      <w:r>
        <w:rPr>
          <w:rFonts w:hint="eastAsia" w:ascii="宋体" w:hAnsi="宋体" w:cs="宋体"/>
          <w:b/>
          <w:bCs/>
          <w:color w:val="auto"/>
          <w:szCs w:val="24"/>
          <w:highlight w:val="none"/>
          <w:lang w:val="en-US" w:eastAsia="zh-CN"/>
        </w:rPr>
        <w:t xml:space="preserve">水嘴</w:t>
      </w:r>
      <w:r>
        <w:rPr>
          <w:rFonts w:hint="eastAsia" w:ascii="宋体" w:hAnsi="宋体" w:cs="宋体"/>
          <w:b w:val="0"/>
          <w:bCs w:val="0"/>
          <w:color w:val="auto"/>
          <w:szCs w:val="24"/>
          <w:highlight w:val="none"/>
          <w:lang w:val="en-US" w:eastAsia="zh-CN"/>
        </w:rPr>
        <w:t xml:space="preserve">为</w:t>
      </w:r>
      <w:r>
        <w:rPr>
          <w:rFonts w:hint="eastAsia" w:ascii="宋体" w:hAnsi="宋体" w:cs="宋体"/>
          <w:color w:val="auto"/>
          <w:szCs w:val="24"/>
          <w:highlight w:val="none"/>
          <w:lang w:eastAsia="zh-CN"/>
        </w:rPr>
        <w:t xml:space="preserve">政府强制采购节能产品，只能选择具有国家确定的认证机构出具的、处于有效期之内的节能产品认证证书的产品进行报价。</w:t>
      </w:r>
      <w:r>
        <w:rPr>
          <w:rFonts w:hint="eastAsia" w:ascii="宋体" w:hAnsi="宋体" w:cs="宋体"/>
          <w:b/>
          <w:bCs/>
          <w:color w:val="auto"/>
          <w:szCs w:val="24"/>
          <w:highlight w:val="none"/>
          <w:lang w:val="en-US" w:eastAsia="zh-CN"/>
        </w:rPr>
        <w:t xml:space="preserve">中标后需提供认证证书。</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both"/>
        <w:widowControl w:val="off"/>
        <w:rPr>
          <w:rFonts w:ascii="宋体" w:hAnsi="宋体" w:cs="宋体"/>
          <w:b/>
          <w:color w:val="auto"/>
          <w:sz w:val="32"/>
          <w:szCs w:val="32"/>
          <w:highlight w:val="none"/>
          <w:lang w:eastAsia="zh-CN"/>
        </w:rPr>
      </w:pPr>
      <w:r>
        <w:rPr>
          <w:rFonts w:hint="eastAsia" w:ascii="宋体" w:hAnsi="宋体" w:cs="宋体"/>
          <w:color w:val="auto"/>
          <w:szCs w:val="24"/>
          <w:highlight w:val="none"/>
          <w:lang w:eastAsia="zh-CN"/>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6.中标、成交供应商可采用合同融资形式，中标人可凭政府采购合同办理融资贷款，详见政府采购网“政采贷”专栏。</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8.本项目中如有涉及数据库、操作系统、通用</w:t>
      </w:r>
      <w:r>
        <w:rPr>
          <w:rFonts w:hint="eastAsia" w:ascii="宋体" w:hAnsi="宋体" w:cs="宋体"/>
          <w:color w:val="auto"/>
          <w:szCs w:val="24"/>
          <w:highlight w:val="none"/>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rPr>
          <w:rFonts w:hint="eastAsia" w:ascii="宋体" w:hAnsi="宋体" w:cs="宋体"/>
          <w:color w:val="auto"/>
          <w:szCs w:val="24"/>
          <w:highlight w:val="none"/>
          <w:lang w:val="en" w:eastAsia="zh-CN"/>
        </w:rPr>
        <w:t xml:space="preserve">采购人原则上应当自收到发票后10个工作日内将资金支付到合同约定的供应商账户。</w:t>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ascii="宋体" w:hAnsi="宋体" w:cs="宋体"/>
          <w:b/>
          <w:bCs/>
          <w:color w:val="auto"/>
          <w:szCs w:val="24"/>
          <w:highlight w:val="none"/>
          <w:lang w:val="zh-CN" w:eastAsia="zh-CN"/>
        </w:rPr>
      </w:pPr>
      <w:r>
        <w:rPr>
          <w:rFonts w:ascii="宋体" w:hAnsi="宋体" w:cs="宋体"/>
          <w:b/>
          <w:bCs/>
          <w:color w:val="auto"/>
          <w:szCs w:val="24"/>
          <w:highlight w:val="none"/>
          <w:lang w:val="zh-CN" w:eastAsia="zh-CN"/>
        </w:rPr>
      </w:r>
      <w:r/>
    </w:p>
    <w:p>
      <w:pPr>
        <w:pStyle w:val="855"/>
        <w:spacing w:after="240"/>
        <w:rPr>
          <w:color w:val="auto"/>
          <w:highlight w:val="none"/>
          <w:lang w:eastAsia="zh-CN"/>
        </w:rPr>
      </w:pPr>
      <w:r/>
      <w:bookmarkStart w:id="17" w:name="_Toc161316667"/>
      <w:r>
        <w:rPr>
          <w:color w:val="auto"/>
          <w:highlight w:val="none"/>
          <w:lang w:eastAsia="zh-CN"/>
        </w:rPr>
        <w:br w:type="page" w:clear="all"/>
      </w:r>
      <w:r>
        <w:rPr>
          <w:rFonts w:hint="eastAsia"/>
          <w:color w:val="auto"/>
          <w:highlight w:val="none"/>
          <w:lang w:eastAsia="zh-CN"/>
        </w:rPr>
        <w:t xml:space="preserve">四、</w:t>
      </w:r>
      <w:bookmarkEnd w:id="17"/>
      <w:r>
        <w:rPr>
          <w:rFonts w:hint="eastAsia"/>
          <w:color w:val="auto"/>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ascii="宋体" w:hAnsi="宋体" w:cs="宋体"/>
          <w:b/>
          <w:bCs/>
          <w:color w:val="auto"/>
          <w:spacing w:val="-20"/>
          <w:sz w:val="48"/>
          <w:szCs w:val="48"/>
          <w:highlight w:val="none"/>
          <w:lang w:eastAsia="zh-CN"/>
        </w:rPr>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left="420" w:firstLine="0"/>
        <w:jc w:val="both"/>
        <w:widowControl w:val="off"/>
        <w:rPr>
          <w:rFonts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ascii="等线" w:hAnsi="等线" w:eastAsia="黑体" w:cs="Times New Roman"/>
          <w:color w:val="auto"/>
          <w:sz w:val="44"/>
          <w:szCs w:val="44"/>
          <w:highlight w:val="none"/>
          <w:lang w:eastAsia="zh-CN"/>
        </w:rPr>
        <w:sectPr>
          <w:headerReference w:type="default" r:id="rId9"/>
          <w:footerReference w:type="default" r:id="rId13"/>
          <w:footnotePr/>
          <w:endnotePr/>
          <w:type w:val="nextPage"/>
          <w:pgSz w:w="11906" w:h="16838" w:orient="portrait"/>
          <w:pgMar w:top="1440" w:right="992" w:bottom="1440" w:left="992" w:header="851" w:footer="992" w:gutter="0"/>
          <w:cols w:num="1" w:sep="0" w:space="425" w:equalWidth="1"/>
          <w:docGrid w:linePitch="360"/>
        </w:sectPr>
      </w:pPr>
      <w:r>
        <w:rPr>
          <w:rFonts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ascii="黑体" w:hAnsi="华文中宋" w:eastAsia="黑体"/>
          <w:color w:val="auto"/>
          <w:sz w:val="28"/>
          <w:szCs w:val="28"/>
          <w:highlight w:val="none"/>
          <w:lang w:eastAsia="zh-CN"/>
        </w:rPr>
        <w:outlineLvl w:val="1"/>
      </w:pPr>
      <w:r/>
      <w:bookmarkStart w:id="18"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18"/>
      <w:r/>
      <w:r/>
    </w:p>
    <w:p>
      <w:pPr>
        <w:ind w:firstLine="0"/>
        <w:jc w:val="both"/>
        <w:spacing w:line="400" w:lineRule="exact"/>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等线" w:hAnsi="等线" w:cs="Times New Roman"/>
          <w:color w:val="auto"/>
          <w:sz w:val="21"/>
          <w:szCs w:val="22"/>
          <w:highlight w:val="none"/>
          <w:lang w:eastAsia="zh-CN"/>
        </w:rPr>
      </w:pPr>
      <w:r>
        <w:rPr>
          <w:rFonts w:ascii="等线" w:hAnsi="等线" w:cs="Times New Roman"/>
          <w:color w:val="auto"/>
          <w:sz w:val="21"/>
          <w:szCs w:val="22"/>
          <w:highlight w:val="none"/>
          <w:lang w:eastAsia="zh-CN"/>
        </w:rPr>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2"/>
        </w:numPr>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jc w:val="both"/>
        <w:spacing w:line="400" w:lineRule="exact"/>
        <w:widowControl w:val="off"/>
        <w:tabs>
          <w:tab w:val="left" w:pos="999"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945"/>
        <w:jc w:val="both"/>
        <w:spacing w:line="400" w:lineRule="exact"/>
        <w:widowControl w:val="off"/>
        <w:rPr>
          <w:rFonts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20"/>
        <w:spacing w:line="400" w:lineRule="exact"/>
        <w:rPr>
          <w:rFonts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22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þ</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jc w:val="both"/>
        <w:spacing w:line="400" w:lineRule="exact"/>
        <w:widowControl w:val="off"/>
        <w:rPr>
          <w:rFonts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840"/>
        <w:jc w:val="both"/>
        <w:spacing w:line="400" w:lineRule="exact"/>
        <w:widowControl w:val="off"/>
        <w:rPr>
          <w:rFonts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84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840"/>
        <w:jc w:val="both"/>
        <w:spacing w:line="400" w:lineRule="exact"/>
        <w:widowControl w:val="off"/>
        <w:rPr>
          <w:rFonts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1"/>
        </w:numPr>
        <w:jc w:val="both"/>
        <w:spacing w:line="400" w:lineRule="exact"/>
        <w:widowControl w:val="off"/>
        <w:rPr>
          <w:rFonts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hint="eastAsia" w:ascii="宋体" w:hAnsi="宋体" w:eastAsia="等线" w:cs="宋体"/>
          <w:bCs/>
          <w:color w:val="auto"/>
          <w:sz w:val="21"/>
          <w:highlight w:val="none"/>
          <w:lang w:eastAsia="zh-CN"/>
        </w:rPr>
        <w:t xml:space="preserve">                            </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合同价款的10%  </w:t>
      </w:r>
      <w:r>
        <w:rPr>
          <w:rFonts w:hint="eastAsia" w:ascii="宋体" w:hAnsi="宋体" w:eastAsia="等线" w:cs="宋体"/>
          <w:bCs/>
          <w:color w:val="auto"/>
          <w:sz w:val="21"/>
          <w:highlight w:val="none"/>
          <w:lang w:eastAsia="zh-CN"/>
        </w:rPr>
        <w:t xml:space="preserve">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货物安装、调试、验收合格后10个工作日内退还。</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hint="eastAsia" w:ascii="宋体" w:hAnsi="宋体" w:eastAsia="等线" w:cs="宋体"/>
          <w:bCs/>
          <w:color w:val="auto"/>
          <w:sz w:val="21"/>
          <w:highlight w:val="none"/>
          <w:u w:val="single"/>
          <w:lang w:eastAsia="zh-CN"/>
        </w:rPr>
        <w:t xml:space="preserve"> 乙方在签订合同后5个工作日内，向甲方提交履约保证金。</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hint="eastAsia" w:ascii="宋体" w:hAnsi="宋体" w:eastAsia="等线" w:cs="宋体"/>
          <w:bCs/>
          <w:color w:val="auto"/>
          <w:sz w:val="21"/>
          <w:highlight w:val="none"/>
          <w:lang w:eastAsia="zh-CN"/>
        </w:rPr>
        <w:t xml:space="preserve">                                      </w:t>
      </w:r>
      <w:r/>
    </w:p>
    <w:p>
      <w:pPr>
        <w:ind w:left="3360" w:hanging="2730"/>
        <w:spacing w:line="400" w:lineRule="exact"/>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承担履约保证金金额千分之二/天的违约金。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3"/>
        </w:numPr>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86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4"/>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甲方</w:t>
            </w:r>
            <w:r>
              <w:rPr>
                <w:rFonts w:hint="eastAsia" w:ascii="等线" w:hAnsi="等线" w:eastAsia="等线" w:cs="Times New Roman"/>
                <w:color w:val="auto"/>
                <w:sz w:val="21"/>
                <w:highlight w:val="none"/>
                <w:lang w:eastAsia="zh-CN"/>
              </w:rPr>
              <w:t xml:space="preserve">（采购人</w:t>
            </w:r>
            <w:r>
              <w:rPr>
                <w:rFonts w:hint="eastAsia" w:ascii="宋体" w:hAnsi="宋体" w:eastAsia="等线" w:cs="Times New Roman"/>
                <w:color w:val="auto"/>
                <w:sz w:val="21"/>
                <w:highlight w:val="none"/>
                <w:lang w:eastAsia="zh-CN"/>
              </w:rPr>
              <w:t xml:space="preserve">、受采购人委托签订合同的单位或</w:t>
            </w:r>
            <w:r>
              <w:rPr>
                <w:rFonts w:hint="eastAsia" w:ascii="等线" w:hAnsi="等线" w:eastAsia="等线" w:cs="Times New Roman"/>
                <w:color w:val="auto"/>
                <w:sz w:val="21"/>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乙方</w:t>
            </w:r>
            <w:r>
              <w:rPr>
                <w:rFonts w:hint="eastAsia" w:ascii="等线" w:hAnsi="等线" w:eastAsia="等线" w:cs="Times New Roman"/>
                <w:color w:val="auto"/>
                <w:sz w:val="21"/>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10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ascii="等线" w:hAnsi="等线" w:eastAsia="等线" w:cs="Times New Roman"/>
                <w:color w:val="auto"/>
                <w:spacing w:val="20"/>
                <w:sz w:val="21"/>
                <w:highlight w:val="none"/>
                <w:lang w:eastAsia="zh-CN"/>
              </w:rPr>
            </w:pPr>
            <w:r>
              <w:rPr>
                <w:rFonts w:hint="eastAsia" w:ascii="宋体" w:hAnsi="宋体" w:eastAsia="等线" w:cs="Times New Roman"/>
                <w:color w:val="auto"/>
                <w:sz w:val="21"/>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bookmarkStart w:id="19" w:name="_Toc27624"/>
      <w:r>
        <w:rPr>
          <w:rFonts w:hint="eastAsia" w:ascii="黑体" w:hAnsi="黑体" w:eastAsia="黑体"/>
          <w:color w:val="auto"/>
          <w:sz w:val="28"/>
          <w:szCs w:val="28"/>
          <w:highlight w:val="none"/>
          <w:lang w:eastAsia="zh-CN"/>
        </w:rPr>
        <w:t xml:space="preserve">第二节 政府采购合同通用条款</w:t>
      </w:r>
      <w:bookmarkEnd w:id="19"/>
      <w:r/>
      <w:r/>
    </w:p>
    <w:p>
      <w:pPr>
        <w:ind w:firstLine="0"/>
        <w:spacing w:line="400" w:lineRule="exact"/>
        <w:widowControl w:val="off"/>
        <w:tabs>
          <w:tab w:val="left" w:pos="8820" w:leader="none"/>
          <w:tab w:val="left" w:pos="9345" w:leader="none"/>
          <w:tab w:val="left" w:pos="9765" w:leader="none"/>
        </w:tabs>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（1）采购人（以下简称甲方）是指使用财政性资金，通过政府采购方式向供应商购买货物及其相关服务的国家机关、事业单位、团体组织。</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（2）供应商（以下简称乙方）是指参加政府采购活动并且中标（成交），向采购人提供合同约定的货物及其相关服务的法人、非法人组织或者自然人。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numPr>
          <w:ilvl w:val="0"/>
          <w:numId w:val="4"/>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合同标的及金额</w:t>
      </w:r>
      <w:r/>
    </w:p>
    <w:p>
      <w:pPr>
        <w:ind w:firstLine="420"/>
        <w:spacing w:line="400" w:lineRule="exact"/>
        <w:widowControl w:val="off"/>
        <w:rPr>
          <w:rFonts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3. 履行合同的时间、地点和方式</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4. 甲方的权利和义务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jc w:val="both"/>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spacing w:line="400" w:lineRule="exact"/>
        <w:widowControl w:val="off"/>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5.4国家法律法规规定及</w:t>
      </w:r>
      <w:r>
        <w:rPr>
          <w:rFonts w:hint="eastAsia" w:ascii="宋体" w:hAnsi="宋体" w:cs="宋体"/>
          <w:b/>
          <w:bCs/>
          <w:color w:val="auto"/>
          <w:sz w:val="22"/>
          <w:szCs w:val="20"/>
          <w:highlight w:val="none"/>
          <w:lang w:eastAsia="zh-CN"/>
        </w:rPr>
        <w:t xml:space="preserve">【政府采购合同专用条款】</w:t>
      </w:r>
      <w:r>
        <w:rPr>
          <w:rFonts w:hint="eastAsia" w:ascii="宋体" w:hAnsi="宋体" w:cs="宋体"/>
          <w:color w:val="auto"/>
          <w:sz w:val="22"/>
          <w:szCs w:val="20"/>
          <w:highlight w:val="none"/>
          <w:lang w:eastAsia="zh-CN"/>
        </w:rPr>
        <w:t xml:space="preserve">约定应由乙方承担的其他义务和责任。</w:t>
      </w:r>
      <w:r/>
    </w:p>
    <w:p>
      <w:pPr>
        <w:numPr>
          <w:ilvl w:val="0"/>
          <w:numId w:val="5"/>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spacing w:line="400" w:lineRule="exact"/>
        <w:widowControl w:val="off"/>
        <w:rPr>
          <w:rFonts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bookmarkStart w:id="20" w:name="_Hlk163047038"/>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20"/>
      <w:r>
        <w:rPr>
          <w:rFonts w:hint="eastAsia" w:ascii="宋体" w:hAnsi="宋体" w:cs="宋体"/>
          <w:color w:val="auto"/>
          <w:sz w:val="21"/>
          <w:highlight w:val="none"/>
          <w:lang w:eastAsia="zh-CN"/>
        </w:rPr>
        <w:t xml:space="preserve">。</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ind w:firstLine="420"/>
        <w:jc w:val="both"/>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 付款方式：</w:t>
      </w:r>
      <w:r/>
    </w:p>
    <w:p>
      <w:pPr>
        <w:ind w:firstLine="0"/>
        <w:jc w:val="both"/>
        <w:spacing w:line="400" w:lineRule="exact"/>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乙方应当以支票、汇票、本票或者金融机构、担保机构出具的保函等非现金形式提交。</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15.3 迟延支付的违约责任</w:t>
      </w:r>
      <w:r/>
    </w:p>
    <w:p>
      <w:pPr>
        <w:ind w:firstLine="420"/>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firstLine="420"/>
        <w:widowControl w:val="off"/>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firstLine="42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6"/>
        </w:numPr>
        <w:jc w:val="both"/>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val="off"/>
        <w:rPr>
          <w:rFonts w:ascii="宋体" w:hAnsi="宋体" w:cs="宋体"/>
          <w:color w:val="auto"/>
          <w:sz w:val="21"/>
          <w:highlight w:val="none"/>
          <w:lang w:eastAsia="zh-CN"/>
        </w:rPr>
      </w:pPr>
      <w:r>
        <w:rPr>
          <w:rFonts w:ascii="宋体" w:hAnsi="宋体" w:cs="宋体"/>
          <w:color w:val="auto"/>
          <w:sz w:val="21"/>
          <w:highlight w:val="none"/>
          <w:lang w:eastAsia="zh-CN"/>
        </w:rPr>
        <w:t xml:space="preserve">16.2</w:t>
      </w:r>
      <w:r>
        <w:rPr>
          <w:rFonts w:hint="eastAsia" w:ascii="宋体" w:hAnsi="宋体" w:cs="宋体"/>
          <w:color w:val="auto"/>
          <w:sz w:val="21"/>
          <w:highlight w:val="none"/>
          <w:lang w:eastAsia="zh-CN"/>
        </w:rPr>
        <w:t xml:space="preserve">合同的中止</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1）合同履行过程中因供应商就采购文件、采购过程或结果提起投诉的，甲方认为有必要的，</w:t>
      </w:r>
      <w:r>
        <w:rPr>
          <w:rFonts w:hint="eastAsia" w:ascii="宋体" w:hAnsi="宋体" w:cs="宋体"/>
          <w:color w:val="auto"/>
          <w:sz w:val="21"/>
          <w:highlight w:val="none"/>
          <w:lang w:eastAsia="zh-CN"/>
        </w:rPr>
        <w:t xml:space="preserve">可以中止合同的履行。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2）</w:t>
      </w:r>
      <w:r>
        <w:rPr>
          <w:rFonts w:hint="eastAsia" w:ascii="宋体" w:hAnsi="宋体" w:cs="宋体"/>
          <w:color w:val="auto"/>
          <w:sz w:val="21"/>
          <w:highlight w:val="none"/>
          <w:lang w:eastAsia="zh-CN"/>
        </w:rPr>
        <w:t xml:space="preserve">合同履行过程中，如果乙方出现以下情形之一的：</w:t>
      </w:r>
      <w:r>
        <w:rPr>
          <w:rFonts w:ascii="宋体" w:hAnsi="宋体" w:cs="宋体"/>
          <w:color w:val="auto"/>
          <w:sz w:val="21"/>
          <w:highlight w:val="none"/>
          <w:lang w:eastAsia="zh-CN"/>
        </w:rPr>
        <w:t xml:space="preserve">1．经营状况严重恶化；2．转移财产、抽逃资金，以逃避债务；3．丧失商业信誉；4．有丧失或者可能丧失履约能力的其他情形</w:t>
      </w:r>
      <w:r>
        <w:rPr>
          <w:rFonts w:hint="eastAsia" w:ascii="宋体" w:hAnsi="宋体" w:cs="宋体"/>
          <w:color w:val="auto"/>
          <w:sz w:val="21"/>
          <w:highlight w:val="none"/>
          <w:lang w:eastAsia="zh-CN"/>
        </w:rPr>
        <w:t xml:space="preserve">，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3）乙方分立、合并或者变更住所的，应当及时以书面形式告知甲方。乙方没有</w:t>
      </w:r>
      <w:r>
        <w:rPr>
          <w:rFonts w:hint="eastAsia" w:ascii="宋体" w:hAnsi="宋体" w:cs="宋体"/>
          <w:color w:val="auto"/>
          <w:sz w:val="21"/>
          <w:highlight w:val="none"/>
          <w:lang w:eastAsia="zh-CN"/>
        </w:rPr>
        <w:t xml:space="preserve">及时告知甲方，致使合同履行发生困难的，甲方可以中止合同履行并要求乙方承担由此给甲方造成的损失。</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eastAsia="zh-CN"/>
        </w:rPr>
        <w:t xml:space="preserve">4</w:t>
      </w:r>
      <w:r>
        <w:rPr>
          <w:rFonts w:hint="eastAsia" w:ascii="宋体" w:hAnsi="宋体" w:cs="宋体"/>
          <w:color w:val="auto"/>
          <w:sz w:val="21"/>
          <w:highlight w:val="none"/>
          <w:lang w:eastAsia="zh-CN"/>
        </w:rPr>
        <w:t xml:space="preserve">）甲方不得以行政区划调整、政府换届、机构或者职能调整以及相关责任人更替为由中止合同。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spacing w:line="400" w:lineRule="exact"/>
        <w:rPr>
          <w:rFonts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spacing w:line="400" w:lineRule="exact"/>
        <w:widowControl w:val="off"/>
        <w:rPr>
          <w:rFonts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本合同条款与法律、行政法规的强制性规定不一致的，双方当事人应当按照法律、行政法规的强制性规定修改本合同的相关条款。</w:t>
      </w:r>
      <w:r/>
    </w:p>
    <w:p>
      <w:pPr>
        <w:numPr>
          <w:ilvl w:val="255"/>
          <w:numId w:val="0"/>
        </w:numPr>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7"/>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spacing w:line="400" w:lineRule="exact"/>
        <w:widowControl w:val="off"/>
        <w:rPr>
          <w:rFonts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bookmarkStart w:id="21" w:name="_Toc20313"/>
      <w:r/>
      <w:r/>
    </w:p>
    <w:p>
      <w:pPr>
        <w:ind w:firstLine="0"/>
        <w:jc w:val="center"/>
        <w:spacing w:line="240" w:lineRule="auto"/>
        <w:widowControl w:val="off"/>
        <w:rPr>
          <w:rFonts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bookmarkEnd w:id="21"/>
      <w:r/>
      <w:r/>
    </w:p>
    <w:tbl>
      <w:tblPr>
        <w:tblStyle w:val="860"/>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联合体具体要求</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rPr>
              <w:t xml:space="preserve">/</w:t>
            </w:r>
            <w:r/>
          </w:p>
        </w:tc>
      </w:tr>
      <w:tr>
        <w:trPr>
          <w:trHeight w:val="607"/>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第1.2（7）项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其他术语解释</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第4.4款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履约验收中甲方提出异议或作出说明的期限</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rPr>
              <w:t xml:space="preserve">5个工作日</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第4.6款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约定甲方承担的其他义务和责任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第5.4款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约定乙方承担的其他义务和责任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第6.1款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履行合同义务的顺序</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宋体"/>
                <w:color w:val="auto"/>
                <w:sz w:val="21"/>
                <w:highlight w:val="none"/>
              </w:rPr>
              <w:t xml:space="preserve">/</w:t>
            </w:r>
            <w:r/>
          </w:p>
        </w:tc>
      </w:tr>
      <w:tr>
        <w:trPr>
          <w:trHeight w:val="670"/>
        </w:trPr>
        <w:tc>
          <w:tcPr>
            <w:tcW w:w="1799" w:type="dxa"/>
            <w:vAlign w:val="center"/>
            <w:vMerge w:val="restart"/>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包装特殊要求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乙方应对任何由于不当包装或防护措施不力而导致的商品损坏、损失、锈蚀、费用增长等后果负责。</w:t>
            </w:r>
            <w:r/>
          </w:p>
        </w:tc>
      </w:tr>
      <w:tr>
        <w:trPr>
          <w:trHeight w:val="670"/>
        </w:trPr>
        <w:tc>
          <w:tcPr>
            <w:tcW w:w="1799" w:type="dxa"/>
            <w:vAlign w:val="center"/>
            <w:vMerge w:val="continue"/>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指定现场</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Calibri" w:hAnsi="Calibri" w:cs="Calibri"/>
                <w:color w:val="auto"/>
                <w:sz w:val="21"/>
                <w:highlight w:val="none"/>
              </w:rPr>
              <w:t xml:space="preserve">甲方指定现场</w:t>
            </w:r>
            <w:r/>
          </w:p>
        </w:tc>
      </w:tr>
      <w:tr>
        <w:trPr>
          <w:trHeight w:val="775"/>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运输特殊要求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由乙方负责办理运输并承担所有费用，直接送到甲方指定地点，并实施安装调试。</w:t>
            </w:r>
            <w:r/>
          </w:p>
        </w:tc>
      </w:tr>
      <w:tr>
        <w:trPr>
          <w:trHeight w:val="67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第7.3款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保险要求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第8.2（1）项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质量保证期</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eastAsia="zh-CN"/>
              </w:rPr>
              <w:t xml:space="preserve">自项目整体验收合格之日起3年</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货物质量缺陷</w:t>
            </w:r>
            <w:r/>
          </w:p>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响应时间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val="zh-CN" w:eastAsia="zh-CN"/>
              </w:rPr>
              <w:t xml:space="preserve">中标供应商应在24小时内对用户的服务要求做出响应，一般问题在48小时内解决，重大问题或其他无法立刻解决的问题应在一周内解决或提出明确的解决方案，否则中标供应商应赔偿相应的损失。</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第二节</w:t>
            </w:r>
            <w:r/>
          </w:p>
          <w:p>
            <w:pPr>
              <w:ind w:firstLine="0"/>
              <w:jc w:val="center"/>
              <w:spacing w:line="400" w:lineRule="exact"/>
              <w:rPr>
                <w:rFonts w:ascii="华文楷体" w:hAnsi="华文楷体" w:eastAsia="华文楷体" w:cs="华文楷体"/>
                <w:color w:val="auto"/>
                <w:sz w:val="22"/>
                <w:highlight w:val="none"/>
                <w:lang w:eastAsia="zh-CN"/>
              </w:rPr>
            </w:pPr>
            <w:r>
              <w:rPr>
                <w:rFonts w:hint="eastAsia" w:ascii="宋体" w:hAnsi="宋体" w:cs="宋体"/>
                <w:color w:val="auto"/>
                <w:sz w:val="22"/>
                <w:highlight w:val="none"/>
                <w:lang w:eastAsia="zh-CN"/>
              </w:rPr>
              <w:t xml:space="preserve">第11.1款</w:t>
            </w:r>
            <w:r/>
          </w:p>
        </w:tc>
        <w:tc>
          <w:tcPr>
            <w:tcW w:w="1950"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其他应当保密的信息</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Calibri" w:hAnsi="Calibri" w:cs="Calibri"/>
                <w:color w:val="auto"/>
                <w:sz w:val="21"/>
                <w:highlight w:val="none"/>
                <w:lang w:eastAsia="zh-CN"/>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合同价款支付时间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Calibri" w:hAnsi="Calibri" w:cs="Calibri"/>
                <w:color w:val="auto"/>
                <w:sz w:val="21"/>
                <w:highlight w:val="none"/>
              </w:rPr>
              <w:t xml:space="preserve">详见合同协议书</w:t>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履约保证金不予退还的情形</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Calibri" w:hAnsi="Calibri" w:cs="Calibri"/>
                <w:color w:val="auto"/>
                <w:sz w:val="21"/>
                <w:highlight w:val="none"/>
              </w:rPr>
              <w:t xml:space="preserve">详见合同协议书</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履约保证金退还时间及逾期退还的违约金</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Calibri" w:hAnsi="Calibri" w:cs="Calibri"/>
                <w:color w:val="auto"/>
                <w:sz w:val="21"/>
                <w:highlight w:val="none"/>
              </w:rPr>
              <w:t xml:space="preserve">详见合同协议书</w:t>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运行监督、维修期限</w:t>
            </w:r>
            <w:r/>
          </w:p>
        </w:tc>
        <w:tc>
          <w:tcPr>
            <w:tcW w:w="5788" w:type="dxa"/>
            <w:vAlign w:val="center"/>
            <w:textDirection w:val="lrTb"/>
            <w:noWrap w:val="false"/>
          </w:tcPr>
          <w:p>
            <w:pPr>
              <w:ind w:firstLine="0"/>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1.保修期满前1个月内乙方应负责一次免费全面检查，并写出正式报告，如发现潜在问题，应负责排除。</w:t>
            </w:r>
            <w:r/>
          </w:p>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eastAsia="zh-CN"/>
              </w:rPr>
              <w:t xml:space="preserve">2.质保期满后的维修内容，乙方将免工时费进行维修，仅按原材料的价格收取维修费用，所更换部件费用由甲方支付。</w:t>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第14.1（5）项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货物回收的约定</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乙方提供的其他服务</w:t>
            </w:r>
            <w:r/>
          </w:p>
        </w:tc>
        <w:tc>
          <w:tcPr>
            <w:tcW w:w="5788" w:type="dxa"/>
            <w:vAlign w:val="center"/>
            <w:textDirection w:val="lrTb"/>
            <w:noWrap w:val="false"/>
          </w:tcPr>
          <w:p>
            <w:pPr>
              <w:ind w:firstLine="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所有采购家具产品，乙方均需经甲方确认最终的色样方可采购或制作，重点区域产品（详见</w:t>
            </w:r>
            <w:r>
              <w:rPr>
                <w:rFonts w:hint="eastAsia" w:ascii="宋体" w:hAnsi="宋体" w:cs="宋体"/>
                <w:color w:val="auto"/>
                <w:sz w:val="21"/>
                <w:highlight w:val="none"/>
                <w:lang w:val="en-US" w:eastAsia="zh-CN"/>
              </w:rPr>
              <w:t xml:space="preserve">采购需求</w:t>
            </w:r>
            <w:r>
              <w:rPr>
                <w:rFonts w:hint="eastAsia" w:ascii="宋体" w:hAnsi="宋体" w:eastAsia="宋体" w:cs="宋体"/>
                <w:color w:val="auto"/>
                <w:sz w:val="21"/>
                <w:highlight w:val="none"/>
                <w:lang w:eastAsia="zh-CN"/>
              </w:rPr>
              <w:t xml:space="preserve">中标注“*”的部分）需通过乙方提供的三维空间效果设计图进行确认。</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修理、重做、更换相关具体规定</w:t>
            </w:r>
            <w:r/>
          </w:p>
        </w:tc>
        <w:tc>
          <w:tcPr>
            <w:tcW w:w="5788" w:type="dxa"/>
            <w:vAlign w:val="center"/>
            <w:textDirection w:val="lrTb"/>
            <w:noWrap w:val="false"/>
          </w:tcPr>
          <w:p>
            <w:pPr>
              <w:ind w:firstLine="0"/>
              <w:spacing w:line="24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 xml:space="preserve">乙方所交的货物品种、型号、规格、技术参数、质量不符合合同规定及招标文件规定标准的</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lang w:eastAsia="zh-CN"/>
              </w:rPr>
              <w:t xml:space="preserve">甲方有权拒收该货物</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lang w:eastAsia="zh-CN"/>
              </w:rPr>
              <w:t xml:space="preserve">乙方愿意更换货物但逾期交货的</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lang w:eastAsia="zh-CN"/>
              </w:rPr>
              <w:t xml:space="preserve">按乙方逾期交货处理。乙方拒绝更换货物的</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lang w:eastAsia="zh-CN"/>
              </w:rPr>
              <w:t xml:space="preserve">甲方可单方面解除合同。</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第15.2（2）项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迟延交货赔偿费</w:t>
            </w:r>
            <w:r/>
          </w:p>
        </w:tc>
        <w:tc>
          <w:tcPr>
            <w:tcW w:w="5788" w:type="dxa"/>
            <w:vAlign w:val="center"/>
            <w:textDirection w:val="lrTb"/>
            <w:noWrap w:val="false"/>
          </w:tcPr>
          <w:p>
            <w:pPr>
              <w:ind w:firstLine="0"/>
              <w:spacing w:line="24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lang w:eastAsia="zh-CN"/>
              </w:rPr>
              <w:t xml:space="preserve">除不可抗力外，每逾期一日，乙方应按照逾期交货金额的万分之五的标准累计计算向甲方支付违约金。逾期超过20个工作日的，甲方有权解除合同，甲方如已支付费用的，乙方全部返还</w:t>
            </w:r>
            <w:r>
              <w:rPr>
                <w:rFonts w:hint="eastAsia" w:ascii="宋体" w:hAnsi="宋体" w:cs="宋体"/>
                <w:color w:val="auto"/>
                <w:sz w:val="21"/>
                <w:highlight w:val="none"/>
                <w:u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逾期付款利息</w:t>
            </w:r>
            <w:r/>
          </w:p>
        </w:tc>
        <w:tc>
          <w:tcPr>
            <w:tcW w:w="5788" w:type="dxa"/>
            <w:vAlign w:val="center"/>
            <w:textDirection w:val="lrTb"/>
            <w:noWrap w:val="false"/>
          </w:tcPr>
          <w:p>
            <w:pPr>
              <w:ind w:firstLine="0"/>
              <w:spacing w:line="24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lang w:eastAsia="zh-CN"/>
              </w:rPr>
              <w:t xml:space="preserve">甲方无正当理由逾期付款时，每逾期一日，甲方应按照逾期付款金额的万分之五的标准累计计算向乙方支付违约金。</w:t>
            </w:r>
            <w:r/>
          </w:p>
        </w:tc>
      </w:tr>
      <w:tr>
        <w:trPr>
          <w:trHeight w:val="880"/>
        </w:trPr>
        <w:tc>
          <w:tcPr>
            <w:tcBorders>
              <w:bottom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firstLine="0"/>
              <w:spacing w:line="240" w:lineRule="auto"/>
              <w:widowControl w:val="off"/>
              <w:rPr>
                <w:rFonts w:hint="eastAsia" w:ascii="宋体" w:hAnsi="宋体" w:cs="宋体"/>
                <w:color w:val="auto"/>
                <w:sz w:val="21"/>
                <w:highlight w:val="none"/>
                <w:u w:val="single"/>
                <w:lang w:eastAsia="zh-CN"/>
              </w:rPr>
            </w:pPr>
            <w:r>
              <w:rPr>
                <w:rFonts w:hint="eastAsia" w:ascii="宋体" w:hAnsi="宋体" w:cs="宋体"/>
                <w:color w:val="auto"/>
                <w:sz w:val="21"/>
                <w:highlight w:val="none"/>
                <w:u w:val="single"/>
                <w:lang w:eastAsia="zh-CN"/>
              </w:rPr>
              <w:t xml:space="preserve">1.出现以下情况之一的，甲方有权依照法律程序解除合同，并追究乙方的法律责任，并提请采购管理部门作出相应处理，并赔偿甲方因此产生的误期违约损失：</w:t>
            </w:r>
            <w:r/>
          </w:p>
          <w:p>
            <w:pPr>
              <w:ind w:firstLine="0"/>
              <w:spacing w:line="240" w:lineRule="auto"/>
              <w:widowControl w:val="off"/>
              <w:rPr>
                <w:rFonts w:hint="eastAsia" w:ascii="宋体" w:hAnsi="宋体" w:cs="宋体"/>
                <w:color w:val="auto"/>
                <w:sz w:val="21"/>
                <w:highlight w:val="none"/>
                <w:u w:val="single"/>
                <w:lang w:eastAsia="zh-CN"/>
              </w:rPr>
            </w:pPr>
            <w:r>
              <w:rPr>
                <w:rFonts w:hint="eastAsia" w:ascii="宋体" w:hAnsi="宋体" w:cs="宋体"/>
                <w:color w:val="auto"/>
                <w:sz w:val="21"/>
                <w:highlight w:val="none"/>
                <w:u w:val="single"/>
                <w:lang w:eastAsia="zh-CN"/>
              </w:rPr>
              <w:t xml:space="preserve">（1）合同履行过程中，甲方有权对乙方提供的货物进行随机破坏性试验，如发现实物与清单特征描述所用材质不符，甲方有权要求乙方更换，若乙方未按时完成更换或更换后仍不满足甲方要求的，则甲方有权要求乙方支付合同总价款20%的违约金（甲方有权在应付乙方的款项中直接扣除违约金，不足扣除部分，甲方有权向乙方追偿）；情节严重的终止合同，由此造成的一切损失由乙方承担。如果双方对试验结果有异议，可委托权威机构进行检测，所产生的检测及验收费用由过失方承担。（破坏性检测的货物，检测后重新装好，相关费用由乙方自行承担）</w:t>
            </w:r>
            <w:r/>
          </w:p>
          <w:p>
            <w:pPr>
              <w:ind w:firstLine="0"/>
              <w:spacing w:line="240" w:lineRule="auto"/>
              <w:widowControl w:val="off"/>
              <w:rPr>
                <w:rFonts w:hint="eastAsia" w:ascii="宋体" w:hAnsi="宋体" w:cs="宋体"/>
                <w:color w:val="auto"/>
                <w:sz w:val="21"/>
                <w:highlight w:val="none"/>
                <w:u w:val="single"/>
                <w:lang w:eastAsia="zh-CN"/>
              </w:rPr>
            </w:pPr>
            <w:r>
              <w:rPr>
                <w:rFonts w:hint="eastAsia" w:ascii="宋体" w:hAnsi="宋体" w:cs="宋体"/>
                <w:color w:val="auto"/>
                <w:sz w:val="21"/>
                <w:highlight w:val="none"/>
                <w:u w:val="single"/>
                <w:lang w:eastAsia="zh-CN"/>
              </w:rPr>
              <w:t xml:space="preserve">（2）货到现场后门窗封闭24小时后进行环保检测，如检测结果不满足环保要求的，乙方应限期进行整改，若乙方未按时完成整改或整改后仍不合格的，则甲方有权要求乙方支付合同总价款20%的违约金（甲方有权在应付乙方的款项中直接扣除违约金，不足扣除部分，甲方有权向乙方追偿）；情节严重的终止合同，由此造成的一切损失由乙方承担。如果双方对检测结果有异议，可委托权威机构进行检测，所产生的检测及验收费用由过失方承担。</w:t>
            </w:r>
            <w:r/>
          </w:p>
          <w:p>
            <w:pPr>
              <w:ind w:firstLine="0"/>
              <w:spacing w:line="240" w:lineRule="auto"/>
              <w:widowControl w:val="off"/>
              <w:rPr>
                <w:rFonts w:hint="eastAsia" w:ascii="宋体" w:hAnsi="宋体" w:cs="宋体"/>
                <w:color w:val="auto"/>
                <w:sz w:val="21"/>
                <w:highlight w:val="none"/>
                <w:u w:val="single"/>
                <w:lang w:eastAsia="zh-CN"/>
              </w:rPr>
            </w:pPr>
            <w:r>
              <w:rPr>
                <w:rFonts w:hint="eastAsia" w:ascii="宋体" w:hAnsi="宋体" w:cs="宋体"/>
                <w:color w:val="auto"/>
                <w:sz w:val="21"/>
                <w:highlight w:val="none"/>
                <w:u w:val="single"/>
                <w:lang w:eastAsia="zh-CN"/>
              </w:rPr>
              <w:t xml:space="preserve">（3）乙方所供货物必须按采购文件及投标文件中约定的实际参数进行供货，</w:t>
            </w:r>
            <w:r>
              <w:rPr>
                <w:rFonts w:hint="eastAsia" w:ascii="宋体" w:hAnsi="宋体" w:cs="宋体"/>
                <w:color w:val="auto"/>
                <w:sz w:val="21"/>
                <w:highlight w:val="none"/>
                <w:u w:val="single"/>
                <w:lang w:eastAsia="zh-CN"/>
              </w:rPr>
              <w:t xml:space="preserve">货物运送到场地后，甲方有权委托第三方法定检验机构进行抽检验收，并出具书面检验报告。若检测不达标（包括：实际供货产品与承诺参数不符、检测指标不合格等），乙方应限期进行整改（整改期限计入项目总体完工期限）。若乙方未按时完成整改或整改后仍不达标的，则甲方有权要求乙方支付合同总价款20%的违约金（甲方有权在应付乙方的款项中直接扣除赔偿金和违约金，不足扣除部分，甲方有权向乙方追偿）；情节严重的终止合同，由此造成的一切损失由乙方承担。如果双方对验收结果有异议，可委托权威机构进行检测，所产生的检测及验收费用由过失方承担。</w:t>
            </w:r>
            <w:r/>
          </w:p>
          <w:p>
            <w:pPr>
              <w:ind w:firstLine="0"/>
              <w:spacing w:line="240" w:lineRule="auto"/>
              <w:widowControl w:val="off"/>
              <w:rPr>
                <w:rFonts w:hint="eastAsia" w:ascii="宋体" w:hAnsi="宋体" w:cs="宋体"/>
                <w:color w:val="auto"/>
                <w:sz w:val="21"/>
                <w:highlight w:val="none"/>
                <w:u w:val="single"/>
                <w:lang w:eastAsia="zh-CN"/>
              </w:rPr>
            </w:pPr>
            <w:r>
              <w:rPr>
                <w:rFonts w:hint="eastAsia" w:ascii="宋体" w:hAnsi="宋体" w:cs="宋体"/>
                <w:color w:val="auto"/>
                <w:sz w:val="21"/>
                <w:highlight w:val="none"/>
                <w:u w:val="single"/>
                <w:lang w:eastAsia="zh-CN"/>
              </w:rPr>
              <w:t xml:space="preserve">2.乙方如无不可抗力，又未履行招标文件、投标文件和合同条款的，一经查实，由乙方赔偿由此给甲方造成的损失，并按照合同总价的30%向甲方支付违约金，因采购活动产生的其他责任及后果按招标文件的相关要求及处理方式执行。</w:t>
            </w:r>
            <w:r/>
          </w:p>
          <w:p>
            <w:pPr>
              <w:ind w:firstLine="0"/>
              <w:spacing w:line="240" w:lineRule="auto"/>
              <w:widowControl w:val="off"/>
              <w:rPr>
                <w:rFonts w:hint="eastAsia" w:ascii="宋体" w:hAnsi="宋体" w:cs="宋体"/>
                <w:color w:val="auto"/>
                <w:sz w:val="21"/>
                <w:highlight w:val="none"/>
                <w:u w:val="single"/>
                <w:lang w:eastAsia="zh-CN"/>
              </w:rPr>
            </w:pPr>
            <w:r>
              <w:rPr>
                <w:rFonts w:hint="eastAsia" w:ascii="宋体" w:hAnsi="宋体" w:cs="宋体"/>
                <w:color w:val="auto"/>
                <w:sz w:val="21"/>
                <w:highlight w:val="none"/>
                <w:u w:val="single"/>
                <w:lang w:eastAsia="zh-CN"/>
              </w:rPr>
              <w:t xml:space="preserve">3.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0"/>
              <w:spacing w:line="240" w:lineRule="auto"/>
              <w:widowControl w:val="off"/>
              <w:rPr>
                <w:rFonts w:hint="eastAsia" w:ascii="宋体" w:hAnsi="宋体" w:eastAsia="宋体" w:cs="宋体"/>
                <w:color w:val="auto"/>
                <w:sz w:val="21"/>
                <w:highlight w:val="none"/>
                <w:u w:val="single"/>
                <w:lang w:eastAsia="zh-CN"/>
              </w:rPr>
            </w:pPr>
            <w:r>
              <w:rPr>
                <w:rFonts w:hint="eastAsia" w:ascii="宋体" w:hAnsi="宋体" w:cs="宋体"/>
                <w:color w:val="auto"/>
                <w:sz w:val="21"/>
                <w:highlight w:val="none"/>
                <w:u w:val="single"/>
                <w:lang w:eastAsia="zh-CN"/>
              </w:rPr>
              <w:t xml:space="preserve">4.如果乙方在本合同履行完毕之前破产或无清偿能力，甲方可在任何时候以书面形式通知乙方，提出解除合同。该终止合同将不损害或影响甲方已经采取或将要采取的任何行动或补救措施的权力。</w:t>
            </w:r>
            <w:r/>
          </w:p>
        </w:tc>
      </w:tr>
      <w:tr>
        <w:trPr>
          <w:trHeight w:val="90"/>
        </w:trPr>
        <w:tc>
          <w:tcPr>
            <w:tcBorders>
              <w:top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因本合同及合同有关事项发生的争议，按下列第</w:t>
            </w:r>
            <w:r>
              <w:rPr>
                <w:rFonts w:hint="eastAsia" w:ascii="宋体" w:hAnsi="宋体" w:cs="宋体"/>
                <w:iCs/>
                <w:color w:val="auto"/>
                <w:sz w:val="21"/>
                <w:highlight w:val="none"/>
                <w:u w:val="single"/>
                <w:lang w:eastAsia="zh-CN"/>
              </w:rPr>
              <w:t xml:space="preserve"> （2） </w:t>
            </w:r>
            <w:r>
              <w:rPr>
                <w:rFonts w:hint="eastAsia" w:ascii="宋体" w:hAnsi="宋体" w:cs="宋体"/>
                <w:iCs/>
                <w:color w:val="auto"/>
                <w:sz w:val="21"/>
                <w:highlight w:val="none"/>
                <w:lang w:eastAsia="zh-CN"/>
              </w:rPr>
              <w:t xml:space="preserve">种方式解决：</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（1）向</w:t>
            </w:r>
            <w:r>
              <w:rPr>
                <w:rFonts w:hint="eastAsia" w:ascii="宋体" w:hAnsi="宋体" w:cs="宋体"/>
                <w:iCs/>
                <w:color w:val="auto"/>
                <w:sz w:val="21"/>
                <w:highlight w:val="none"/>
                <w:u w:val="single"/>
                <w:lang w:eastAsia="zh-CN"/>
              </w:rPr>
              <w:t xml:space="preserve">无锡</w:t>
            </w:r>
            <w:r>
              <w:rPr>
                <w:rFonts w:hint="eastAsia" w:ascii="宋体" w:hAnsi="宋体" w:cs="宋体"/>
                <w:iCs/>
                <w:color w:val="auto"/>
                <w:sz w:val="21"/>
                <w:highlight w:val="none"/>
                <w:lang w:eastAsia="zh-CN"/>
              </w:rPr>
              <w:t xml:space="preserve">仲裁委员会申请仲裁，仲裁地点为</w:t>
            </w:r>
            <w:r>
              <w:rPr>
                <w:rFonts w:hint="eastAsia" w:ascii="宋体" w:hAnsi="宋体" w:cs="宋体"/>
                <w:iCs/>
                <w:color w:val="auto"/>
                <w:sz w:val="21"/>
                <w:highlight w:val="none"/>
                <w:u w:val="single"/>
                <w:lang w:eastAsia="zh-CN"/>
              </w:rPr>
              <w:t xml:space="preserve">无锡市锡山区</w:t>
            </w:r>
            <w:r>
              <w:rPr>
                <w:rFonts w:hint="eastAsia" w:ascii="宋体" w:hAnsi="宋体" w:cs="宋体"/>
                <w:iCs/>
                <w:color w:val="auto"/>
                <w:sz w:val="21"/>
                <w:highlight w:val="none"/>
                <w:lang w:eastAsia="zh-CN"/>
              </w:rPr>
              <w:t xml:space="preserve">；</w:t>
            </w:r>
            <w:r/>
          </w:p>
          <w:p>
            <w:pPr>
              <w:ind w:firstLine="0"/>
              <w:spacing w:line="240" w:lineRule="auto"/>
              <w:widowControl w:val="off"/>
              <w:rPr>
                <w:rFonts w:ascii="宋体" w:hAnsi="宋体" w:eastAsia="等线" w:cs="Times New Roman"/>
                <w:color w:val="auto"/>
                <w:sz w:val="21"/>
                <w:highlight w:val="none"/>
                <w:u w:val="single"/>
                <w:lang w:eastAsia="zh-CN"/>
              </w:rPr>
            </w:pPr>
            <w:r>
              <w:rPr>
                <w:rFonts w:hint="eastAsia" w:ascii="宋体" w:hAnsi="宋体" w:cs="宋体"/>
                <w:iCs/>
                <w:color w:val="auto"/>
                <w:sz w:val="21"/>
                <w:highlight w:val="none"/>
                <w:lang w:eastAsia="zh-CN"/>
              </w:rPr>
              <w:t xml:space="preserve">（2）向</w:t>
            </w:r>
            <w:r>
              <w:rPr>
                <w:rFonts w:hint="eastAsia" w:ascii="宋体" w:hAnsi="宋体" w:cs="宋体"/>
                <w:iCs/>
                <w:color w:val="auto"/>
                <w:sz w:val="21"/>
                <w:highlight w:val="none"/>
                <w:u w:val="single"/>
                <w:lang w:eastAsia="zh-CN"/>
              </w:rPr>
              <w:t xml:space="preserve"> 甲方所在地 </w:t>
            </w:r>
            <w:r>
              <w:rPr>
                <w:rFonts w:hint="eastAsia" w:ascii="宋体" w:hAnsi="宋体" w:cs="宋体"/>
                <w:iCs/>
                <w:color w:val="auto"/>
                <w:sz w:val="21"/>
                <w:highlight w:val="none"/>
                <w:lang w:eastAsia="zh-CN"/>
              </w:rPr>
              <w:t xml:space="preserve">人民法院起诉。</w:t>
            </w:r>
            <w:r/>
          </w:p>
        </w:tc>
      </w:tr>
      <w:tr>
        <w:trPr>
          <w:trHeight w:val="773"/>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第23.1款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bCs/>
                <w:color w:val="auto"/>
                <w:sz w:val="21"/>
                <w:highlight w:val="none"/>
                <w:lang w:eastAsia="zh-CN"/>
              </w:rPr>
              <w:t xml:space="preserve">其他专用条款</w:t>
            </w:r>
            <w:r/>
          </w:p>
        </w:tc>
        <w:tc>
          <w:tcPr>
            <w:tcW w:w="5788" w:type="dxa"/>
            <w:vAlign w:val="center"/>
            <w:textDirection w:val="lrTb"/>
            <w:noWrap w:val="false"/>
          </w:tcPr>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1.交货条件：</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（1）交货日期（或完工期）：         。</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（2）甲方在验收时应先用信函、传真、电子邮件等书面方式通知乙方。</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（4）货物交货时，所有货物必须带有货物质量检验合格证书、中文质保单、装箱单、中文货物安装使用说明书等。其他附件所有部件必须原包装。                    </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2.安装调试及售后服务：</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（1）乙方负责本项目的安装和调试，并保证其提供的货物符合国家、行业、地方、招投标文件及合同规定的质量、性能和标准，并正确且安全地安装。</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（2）乙方提供的服务全部按照国家有关法律法规规章和“三包”规定以及按招标文件要求和乙方投标文件中的承诺执行。</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（3）质保期后的货物维护由双方协商再定。</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（4）甲方应向乙方现场调试的技术人员及维修人员提供乙方便条件，有关费用由乙方负责。</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（5）甲方如要求乙方提供招标文件及乙方投标文件以外的其他服务，其费用另定。</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4.甲乙双方确认：对本合同条款及后果均已知悉，一致确认不存在欺诈、胁迫、乘人之危、重大误解、显失公平等任何可能导致合同无效或被撤销的情形。</w:t>
            </w:r>
            <w:r/>
          </w:p>
        </w:tc>
      </w:tr>
    </w:tbl>
    <w:p>
      <w:pPr>
        <w:ind w:firstLine="0"/>
        <w:widowControl w:val="off"/>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eastAsia="黑体"/>
          <w:b/>
          <w:bCs/>
          <w:color w:val="auto"/>
          <w:sz w:val="36"/>
          <w:szCs w:val="44"/>
          <w:highlight w:val="none"/>
          <w:lang w:eastAsia="zh-CN"/>
        </w:rPr>
      </w:pPr>
      <w:r/>
      <w:bookmarkStart w:id="22" w:name="_Toc161316668"/>
      <w:r>
        <w:rPr>
          <w:color w:val="auto"/>
          <w:highlight w:val="none"/>
          <w:lang w:eastAsia="zh-CN"/>
        </w:rPr>
        <w:br w:type="page" w:clear="all"/>
      </w:r>
      <w:r/>
    </w:p>
    <w:p>
      <w:pPr>
        <w:pStyle w:val="855"/>
        <w:rPr>
          <w:color w:val="auto"/>
          <w:highlight w:val="none"/>
          <w:lang w:eastAsia="zh-CN"/>
        </w:rPr>
      </w:pPr>
      <w:r>
        <w:rPr>
          <w:rFonts w:hint="eastAsia"/>
          <w:color w:val="auto"/>
          <w:highlight w:val="none"/>
          <w:lang w:eastAsia="zh-CN"/>
        </w:rPr>
        <w:t xml:space="preserve">五、附件</w:t>
      </w:r>
      <w:bookmarkEnd w:id="22"/>
      <w:r/>
      <w:r/>
    </w:p>
    <w:p>
      <w:pPr>
        <w:pStyle w:val="856"/>
        <w:rPr>
          <w:rFonts w:ascii="宋体" w:hAnsi="宋体" w:cs="宋体"/>
          <w:color w:val="auto"/>
          <w:szCs w:val="24"/>
          <w:highlight w:val="none"/>
          <w:lang w:eastAsia="zh-CN"/>
        </w:rPr>
      </w:pPr>
      <w:r/>
      <w:bookmarkStart w:id="23" w:name="_Toc101981934"/>
      <w:r/>
      <w:bookmarkStart w:id="24" w:name="_Toc161316669"/>
      <w:r>
        <w:rPr>
          <w:rFonts w:hint="eastAsia"/>
          <w:color w:val="auto"/>
          <w:highlight w:val="none"/>
          <w:lang w:eastAsia="zh-CN"/>
        </w:rPr>
        <w:t xml:space="preserve">附件一：评分标准</w:t>
      </w:r>
      <w:bookmarkEnd w:id="23"/>
      <w:r/>
      <w:bookmarkEnd w:id="24"/>
      <w:r/>
      <w:r/>
    </w:p>
    <w:p>
      <w:pPr>
        <w:ind w:firstLine="480"/>
        <w:spacing w:line="440" w:lineRule="exact"/>
        <w:widowControl w:val="off"/>
        <w:rPr>
          <w:rFonts w:ascii="宋体" w:hAnsi="宋体" w:cs="宋体"/>
          <w:b/>
          <w:color w:val="auto"/>
          <w:highlight w:val="none"/>
          <w:lang w:eastAsia="zh-CN"/>
        </w:rPr>
      </w:pPr>
      <w:r/>
      <w:bookmarkStart w:id="25" w:name="_Toc37956245"/>
      <w:r/>
      <w:bookmarkStart w:id="26" w:name="_Toc37956127"/>
      <w:r>
        <w:rPr>
          <w:rFonts w:hint="eastAsia" w:ascii="宋体" w:hAnsi="宋体" w:cs="宋体"/>
          <w:bCs/>
          <w:color w:val="auto"/>
          <w:highlight w:val="none"/>
          <w:lang w:eastAsia="zh-CN"/>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具体评分标准如下：</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1.价格分                   30分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2.商务资信分               1</w:t>
      </w:r>
      <w:r>
        <w:rPr>
          <w:rFonts w:hint="eastAsia" w:ascii="宋体" w:hAnsi="宋体" w:cs="宋体"/>
          <w:b/>
          <w:color w:val="auto"/>
          <w:highlight w:val="none"/>
          <w:lang w:val="en-US" w:eastAsia="zh-CN"/>
        </w:rPr>
        <w:t xml:space="preserve">8</w:t>
      </w:r>
      <w:r>
        <w:rPr>
          <w:rFonts w:hint="eastAsia" w:ascii="宋体" w:hAnsi="宋体" w:cs="宋体"/>
          <w:b/>
          <w:color w:val="auto"/>
          <w:highlight w:val="none"/>
          <w:lang w:eastAsia="zh-CN"/>
        </w:rPr>
        <w:t xml:space="preserve">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3.技术方案                 50分</w:t>
      </w:r>
      <w:r/>
    </w:p>
    <w:p>
      <w:pPr>
        <w:ind w:firstLine="482"/>
        <w:spacing w:line="440" w:lineRule="exact"/>
        <w:widowControl w:val="off"/>
        <w:rPr>
          <w:rFonts w:ascii="宋体" w:hAnsi="宋体" w:cs="宋体"/>
          <w:bCs/>
          <w:color w:val="auto"/>
          <w:highlight w:val="none"/>
        </w:rPr>
      </w:pPr>
      <w:r>
        <w:rPr>
          <w:rFonts w:hint="eastAsia" w:ascii="宋体" w:hAnsi="宋体" w:cs="宋体"/>
          <w:b/>
          <w:color w:val="auto"/>
          <w:highlight w:val="none"/>
          <w:lang w:eastAsia="zh-CN"/>
        </w:rPr>
        <w:t xml:space="preserve">4.</w:t>
      </w:r>
      <w:r>
        <w:rPr>
          <w:rFonts w:hint="eastAsia" w:ascii="宋体" w:hAnsi="宋体" w:cs="宋体"/>
          <w:b/>
          <w:color w:val="auto"/>
          <w:highlight w:val="none"/>
        </w:rPr>
        <w:t xml:space="preserve">政策加分            </w:t>
      </w:r>
      <w:r>
        <w:rPr>
          <w:rFonts w:hint="eastAsia" w:ascii="宋体" w:hAnsi="宋体" w:cs="宋体"/>
          <w:b/>
          <w:color w:val="auto"/>
          <w:highlight w:val="none"/>
          <w:lang w:eastAsia="zh-CN"/>
        </w:rPr>
        <w:t xml:space="preserve">    </w:t>
      </w:r>
      <w:r>
        <w:rPr>
          <w:rFonts w:hint="eastAsia" w:ascii="宋体" w:hAnsi="宋体" w:cs="宋体"/>
          <w:b/>
          <w:color w:val="auto"/>
          <w:highlight w:val="none"/>
        </w:rPr>
        <w:t xml:space="preserve">  2分</w:t>
      </w:r>
      <w:r/>
    </w:p>
    <w:p>
      <w:pPr>
        <w:ind w:firstLine="0"/>
        <w:spacing w:line="440" w:lineRule="exact"/>
        <w:widowControl w:val="off"/>
        <w:rPr>
          <w:rFonts w:ascii="宋体" w:hAnsi="宋体" w:cs="宋体"/>
          <w:b/>
          <w:bCs/>
          <w:color w:val="auto"/>
          <w:highlight w:val="none"/>
        </w:rPr>
      </w:pPr>
      <w:r>
        <w:rPr>
          <w:rFonts w:hint="eastAsia" w:ascii="宋体" w:hAnsi="宋体" w:cs="宋体"/>
          <w:b/>
          <w:bCs/>
          <w:color w:val="auto"/>
          <w:highlight w:val="none"/>
          <w:lang w:eastAsia="zh-CN"/>
        </w:rPr>
        <w:t xml:space="preserve">（一）</w:t>
      </w:r>
      <w:r>
        <w:rPr>
          <w:rFonts w:hint="eastAsia" w:ascii="宋体" w:hAnsi="宋体" w:cs="宋体"/>
          <w:b/>
          <w:bCs/>
          <w:color w:val="auto"/>
          <w:highlight w:val="none"/>
        </w:rPr>
        <w:t xml:space="preserve">价格分（</w:t>
      </w:r>
      <w:r>
        <w:rPr>
          <w:rFonts w:hint="eastAsia" w:ascii="宋体" w:hAnsi="宋体" w:cs="宋体"/>
          <w:b/>
          <w:bCs/>
          <w:color w:val="auto"/>
          <w:highlight w:val="none"/>
          <w:lang w:eastAsia="zh-CN"/>
        </w:rPr>
        <w:t xml:space="preserve">3</w:t>
      </w:r>
      <w:r>
        <w:rPr>
          <w:rFonts w:hint="eastAsia" w:ascii="宋体" w:hAnsi="宋体" w:cs="宋体"/>
          <w:b/>
          <w:bCs/>
          <w:color w:val="auto"/>
          <w:highlight w:val="none"/>
        </w:rPr>
        <w:t xml:space="preserve">0分）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采用低价优先法计算，即满足招标文件要求且投标价格最低的投标报价为评标基准价，其价格分为满分。其他投标人的价格分统一按照下列公式计算：</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投标报价得分=（投标基准价／投标报价）×价格权值</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价格扣除：</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促进本国产品优惠政策：依法对本国产品给予价格评审优惠，对本国产品的报价给予20%的价格扣除，用扣除后的价格参与评审。</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具体以《国务院办公厅关于在政府采购中实施本国产品标准及相关政策的通知》（国办发〔2025〕34号）规定为准。</w:t>
      </w:r>
      <w:r/>
    </w:p>
    <w:p>
      <w:pPr>
        <w:ind w:firstLine="482"/>
        <w:spacing w:line="440" w:lineRule="exact"/>
        <w:widowControl w:val="off"/>
        <w:rPr>
          <w:rFonts w:ascii="宋体" w:hAnsi="宋体" w:cs="宋体"/>
          <w:color w:val="auto"/>
          <w:highlight w:val="none"/>
          <w:lang w:eastAsia="zh-CN"/>
        </w:rPr>
      </w:pPr>
      <w:r>
        <w:rPr>
          <w:rFonts w:hint="eastAsia" w:ascii="宋体" w:hAnsi="宋体" w:cs="宋体"/>
          <w:b/>
          <w:bCs/>
          <w:color w:val="auto"/>
          <w:highlight w:val="none"/>
          <w:lang w:eastAsia="zh-CN"/>
        </w:rPr>
        <w:t xml:space="preserve">异常低价投标（响应）审查：</w:t>
      </w:r>
      <w:r>
        <w:rPr>
          <w:rFonts w:hint="eastAsia" w:ascii="宋体" w:hAnsi="宋体" w:cs="宋体"/>
          <w:color w:val="auto"/>
          <w:highlight w:val="none"/>
          <w:lang w:eastAsia="zh-CN"/>
        </w:rPr>
        <w:t xml:space="preserve">评标委员会根据《财政部关于推动解决政府采购异常低价问题的通知》（</w:t>
      </w:r>
      <w:bookmarkStart w:id="27" w:name="OLE_LINK4"/>
      <w:r/>
      <w:bookmarkStart w:id="28" w:name="OLE_LINK3"/>
      <w:r>
        <w:rPr>
          <w:rFonts w:hint="eastAsia" w:ascii="宋体" w:hAnsi="宋体" w:cs="宋体"/>
          <w:color w:val="auto"/>
          <w:highlight w:val="none"/>
          <w:lang w:eastAsia="zh-CN"/>
        </w:rPr>
        <w:t xml:space="preserve">财库〔2026〕2号</w:t>
      </w:r>
      <w:bookmarkEnd w:id="27"/>
      <w:r/>
      <w:bookmarkEnd w:id="28"/>
      <w:r>
        <w:rPr>
          <w:rFonts w:hint="eastAsia" w:ascii="宋体" w:hAnsi="宋体" w:cs="宋体"/>
          <w:color w:val="auto"/>
          <w:highlight w:val="none"/>
          <w:lang w:eastAsia="zh-CN"/>
        </w:rPr>
        <w:t xml:space="preserve">）</w:t>
      </w:r>
      <w:r>
        <w:rPr>
          <w:rFonts w:hint="eastAsia" w:ascii="宋体" w:hAnsi="宋体" w:cs="宋体"/>
          <w:b/>
          <w:bCs/>
          <w:color w:val="auto"/>
          <w:highlight w:val="none"/>
          <w:lang w:eastAsia="zh-CN"/>
        </w:rPr>
        <w:t xml:space="preserve">（详见公开招标文件第二部分（八）无效投标文件的确认第2</w:t>
      </w:r>
      <w:r>
        <w:rPr>
          <w:rFonts w:ascii="宋体" w:hAnsi="宋体" w:cs="宋体"/>
          <w:b/>
          <w:bCs/>
          <w:color w:val="auto"/>
          <w:highlight w:val="none"/>
          <w:lang w:eastAsia="zh-CN"/>
        </w:rPr>
        <w:t xml:space="preserve">6</w:t>
      </w:r>
      <w:r>
        <w:rPr>
          <w:rFonts w:hint="eastAsia" w:ascii="宋体" w:hAnsi="宋体" w:cs="宋体"/>
          <w:b/>
          <w:bCs/>
          <w:color w:val="auto"/>
          <w:highlight w:val="none"/>
          <w:lang w:eastAsia="zh-CN"/>
        </w:rPr>
        <w:t xml:space="preserve">条规定）</w:t>
      </w:r>
      <w:r>
        <w:rPr>
          <w:rFonts w:hint="eastAsia" w:ascii="宋体" w:hAnsi="宋体" w:cs="宋体"/>
          <w:color w:val="auto"/>
          <w:highlight w:val="none"/>
          <w:lang w:eastAsia="zh-CN"/>
        </w:rPr>
        <w:t xml:space="preserve">要求进行审查。投标供应商不提供书面说明、证明材料，或者提供的书面说明、证明材料不能证明其报价合理性的，评标委员会应当将其作为无效投标（响应）处理。</w:t>
      </w:r>
      <w:r/>
    </w:p>
    <w:p>
      <w:pPr>
        <w:ind w:firstLine="0"/>
        <w:spacing w:line="440" w:lineRule="exact"/>
        <w:widowControl w:val="off"/>
        <w:rPr>
          <w:rFonts w:ascii="宋体" w:hAnsi="宋体" w:cs="宋体"/>
          <w:b/>
          <w:bCs/>
          <w:color w:val="auto"/>
          <w:highlight w:val="none"/>
          <w:lang w:eastAsia="zh-CN"/>
        </w:rPr>
      </w:pPr>
      <w:r>
        <w:rPr>
          <w:rFonts w:hint="eastAsia" w:ascii="宋体" w:hAnsi="宋体" w:cs="宋体"/>
          <w:b/>
          <w:bCs/>
          <w:color w:val="auto"/>
          <w:highlight w:val="none"/>
          <w:lang w:eastAsia="zh-CN"/>
        </w:rPr>
        <w:t xml:space="preserve">（二）商务资信分（1</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lang w:eastAsia="zh-CN"/>
        </w:rPr>
        <w:t xml:space="preserve">分）</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1.类似业绩（</w:t>
      </w:r>
      <w:r>
        <w:rPr>
          <w:rFonts w:hint="eastAsia" w:ascii="宋体" w:hAnsi="宋体" w:cs="宋体"/>
          <w:bCs/>
          <w:color w:val="auto"/>
          <w:highlight w:val="none"/>
          <w:lang w:val="en-US" w:eastAsia="zh-CN"/>
        </w:rPr>
        <w:t xml:space="preserve">4</w:t>
      </w:r>
      <w:r>
        <w:rPr>
          <w:rFonts w:hint="eastAsia" w:ascii="宋体" w:hAnsi="宋体" w:cs="宋体"/>
          <w:bCs/>
          <w:color w:val="auto"/>
          <w:highlight w:val="none"/>
          <w:lang w:eastAsia="zh-CN"/>
        </w:rPr>
        <w:t xml:space="preserve">分）：</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投标供应商自2023年1月1日（含）以来（以合同签订时间为准）承担过类似供货业绩，每提供1份有效业绩得2分，本项最高得</w:t>
      </w:r>
      <w:r>
        <w:rPr>
          <w:rFonts w:hint="eastAsia" w:ascii="宋体" w:hAnsi="宋体" w:cs="宋体"/>
          <w:bCs/>
          <w:color w:val="auto"/>
          <w:highlight w:val="none"/>
          <w:lang w:val="en-US" w:eastAsia="zh-CN"/>
        </w:rPr>
        <w:t xml:space="preserve">4</w:t>
      </w:r>
      <w:r>
        <w:rPr>
          <w:rFonts w:hint="eastAsia" w:ascii="宋体" w:hAnsi="宋体" w:cs="宋体"/>
          <w:bCs/>
          <w:color w:val="auto"/>
          <w:highlight w:val="none"/>
          <w:lang w:eastAsia="zh-CN"/>
        </w:rPr>
        <w:t xml:space="preserve">分。</w:t>
      </w:r>
      <w:r>
        <w:rPr>
          <w:rFonts w:hint="eastAsia" w:ascii="宋体" w:hAnsi="宋体" w:cs="宋体"/>
          <w:b/>
          <w:color w:val="auto"/>
          <w:highlight w:val="none"/>
          <w:lang w:eastAsia="zh-CN"/>
        </w:rPr>
        <w:t xml:space="preserve">【提供有效的合同原件、资金往来证明、验收证明扫描件并加盖投标人电子公章上传至投标文件中，时间以合同签订时间为准，未提供或提供不全不得分】</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2.相关证书（</w:t>
      </w:r>
      <w:r>
        <w:rPr>
          <w:rFonts w:hint="eastAsia" w:ascii="宋体" w:hAnsi="宋体" w:cs="宋体"/>
          <w:bCs/>
          <w:color w:val="auto"/>
          <w:highlight w:val="none"/>
          <w:lang w:val="en-US" w:eastAsia="zh-CN"/>
        </w:rPr>
        <w:t xml:space="preserve">9</w:t>
      </w:r>
      <w:r>
        <w:rPr>
          <w:rFonts w:hint="eastAsia" w:ascii="宋体" w:hAnsi="宋体" w:cs="宋体"/>
          <w:bCs/>
          <w:color w:val="auto"/>
          <w:highlight w:val="none"/>
          <w:lang w:eastAsia="zh-CN"/>
        </w:rPr>
        <w:t xml:space="preserve">分）：</w:t>
      </w:r>
      <w:r/>
    </w:p>
    <w:p>
      <w:pPr>
        <w:ind w:firstLine="480"/>
        <w:spacing w:line="440" w:lineRule="exact"/>
        <w:widowControl w:val="off"/>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①投标人或其生产厂家（制造商）具备有效期内的家具产品有害物质限量认证证书（认证范围需包含：木家具（人造板家具），金属家具）的得2分。</w:t>
      </w:r>
      <w:r/>
    </w:p>
    <w:p>
      <w:pPr>
        <w:ind w:firstLine="480"/>
        <w:spacing w:line="440" w:lineRule="exact"/>
        <w:widowControl w:val="off"/>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②投标人或其生产厂家（制造商）具备有效期内的中国绿色产品认证证书（认证范围需包含：木家具（人造板家具），金属家具）的得2分。</w:t>
      </w:r>
      <w:r/>
    </w:p>
    <w:p>
      <w:pPr>
        <w:ind w:firstLine="480"/>
        <w:spacing w:line="440" w:lineRule="exact"/>
        <w:widowControl w:val="off"/>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③投标人或其生产厂家（制造商）具备有效期内的中国环保产品认证证书（认证范围需包含：木制实验室家具，金属实验室家具）的得2分。</w:t>
      </w:r>
      <w:r/>
    </w:p>
    <w:p>
      <w:pPr>
        <w:ind w:firstLine="480"/>
        <w:spacing w:line="440" w:lineRule="exact"/>
        <w:widowControl w:val="off"/>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④投标人或其生产厂家（制造商）具备有效期内的环境管理体系认证证书，职业健康安全管理体系认证证书，质量管理体系认证证书，认证范围需包含办公家具、实验室家具</w:t>
      </w:r>
      <w:r>
        <w:rPr>
          <w:rFonts w:hint="eastAsia" w:ascii="宋体" w:hAnsi="宋体" w:cs="宋体"/>
          <w:bCs/>
          <w:color w:val="auto"/>
          <w:highlight w:val="none"/>
          <w:lang w:val="en-US" w:eastAsia="zh-CN"/>
        </w:rPr>
        <w:t xml:space="preserve">相关服务内容</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有1个得1分，本项最高</w:t>
      </w:r>
      <w:r>
        <w:rPr>
          <w:rFonts w:hint="eastAsia" w:ascii="宋体" w:hAnsi="宋体" w:cs="宋体"/>
          <w:bCs/>
          <w:color w:val="auto"/>
          <w:highlight w:val="none"/>
          <w:lang w:eastAsia="zh-CN"/>
        </w:rPr>
        <w:t xml:space="preserve">得</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lang w:eastAsia="zh-CN"/>
        </w:rPr>
        <w:t xml:space="preserve">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bCs w:val="0"/>
          <w:color w:val="auto"/>
          <w:highlight w:val="none"/>
          <w:lang w:eastAsia="zh-CN"/>
        </w:rPr>
        <w:t xml:space="preserve">注：上述证书均须提供相应证书的扫描件并加盖电子公章上传至投标文件中，同时还须提供该证书在国家认监委网站（“国家市场监督管理总局－全国认证认可信息公共服务平台”网站）查询到的有效认证截图，不提供或提供不全不得分</w:t>
      </w:r>
      <w:r>
        <w:rPr>
          <w:rFonts w:hint="eastAsia" w:ascii="宋体" w:hAnsi="宋体" w:cs="宋体"/>
          <w:b/>
          <w:color w:val="auto"/>
          <w:highlight w:val="none"/>
          <w:lang w:eastAsia="zh-CN"/>
        </w:rPr>
        <w:t xml:space="preserve">。</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3.检测报告（5分）：</w:t>
      </w:r>
      <w:r/>
    </w:p>
    <w:p>
      <w:pPr>
        <w:ind w:firstLine="480"/>
        <w:spacing w:after="181" w:line="440" w:lineRule="exact"/>
        <w:widowControl w:val="off"/>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投标供应商需出具包含下列材料及检测项的权威检测报告原件扫描件上传至投标文件中并加盖电子公章，检测报告由CMA或CNAS认证的检验中心出具且必须清晰、完整（含封底和封面），检测报告不完整的视为无效，受检单位须为投标供应商或其生产厂家（制造商），每份检测报告满足该项要求的，得分项目参数必须在《投标偏离表》填报内容中填写并注明为正偏离，未按要求提供证明材料和不按要求填写的，不得分，本项满分5分。</w:t>
      </w:r>
      <w:r/>
    </w:p>
    <w:tbl>
      <w:tblPr>
        <w:tblStyle w:val="860"/>
        <w:tblW w:w="10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3295"/>
        <w:gridCol w:w="3624"/>
        <w:gridCol w:w="2910"/>
      </w:tblGrid>
      <w:tr>
        <w:trPr>
          <w:jc w:val="center"/>
          <w:trHeight w:val="430"/>
          <w:tblHeader/>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0"/>
              <w:jc w:val="center"/>
              <w:keepNext w:val="0"/>
              <w:spacing w:line="240" w:lineRule="auto"/>
              <w:widowControl w:val="off"/>
              <w:tabs>
                <w:tab w:val="left" w:pos="240" w:leader="none"/>
              </w:tabs>
              <w:rPr>
                <w:rFonts w:ascii="宋体" w:hAnsi="宋体" w:cs="宋体"/>
                <w:b/>
              </w:rPr>
            </w:pPr>
            <w:r>
              <w:rPr>
                <w:rFonts w:hint="eastAsia" w:ascii="宋体" w:hAnsi="宋体" w:cs="宋体"/>
                <w:b/>
              </w:rPr>
              <w:t xml:space="preserve">序号</w:t>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ind w:firstLine="0"/>
              <w:jc w:val="center"/>
              <w:keepNext w:val="0"/>
              <w:spacing w:line="240" w:lineRule="auto"/>
              <w:widowControl w:val="off"/>
              <w:rPr>
                <w:rFonts w:ascii="宋体" w:hAnsi="宋体" w:cs="宋体"/>
                <w:b/>
              </w:rPr>
            </w:pPr>
            <w:r>
              <w:rPr>
                <w:rFonts w:hint="eastAsia" w:ascii="宋体" w:hAnsi="宋体" w:cs="宋体"/>
                <w:b/>
              </w:rPr>
              <w:t xml:space="preserve">采购需求的参数要求</w:t>
            </w:r>
            <w:r/>
          </w:p>
        </w:tc>
        <w:tc>
          <w:tcPr>
            <w:gridSpan w:val="2"/>
            <w:tcBorders>
              <w:top w:val="single" w:color="000000" w:sz="4" w:space="0"/>
              <w:left w:val="single" w:color="000000" w:sz="4" w:space="0"/>
              <w:bottom w:val="single" w:color="000000" w:sz="4" w:space="0"/>
              <w:right w:val="single" w:color="000000" w:sz="4" w:space="0"/>
            </w:tcBorders>
            <w:tcW w:w="6534" w:type="dxa"/>
            <w:vAlign w:val="center"/>
            <w:textDirection w:val="lrTb"/>
            <w:noWrap w:val="false"/>
          </w:tcPr>
          <w:p>
            <w:pPr>
              <w:ind w:firstLine="0"/>
              <w:jc w:val="center"/>
              <w:keepNext w:val="0"/>
              <w:spacing w:line="240" w:lineRule="auto"/>
              <w:widowControl w:val="off"/>
              <w:rPr>
                <w:rFonts w:ascii="宋体" w:hAnsi="宋体" w:cs="宋体"/>
                <w:b/>
              </w:rPr>
            </w:pPr>
            <w:r>
              <w:rPr>
                <w:rFonts w:hint="eastAsia" w:ascii="宋体" w:hAnsi="宋体" w:cs="宋体"/>
                <w:b/>
              </w:rPr>
              <w:t xml:space="preserve">评审内容</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firstLine="0"/>
              <w:jc w:val="center"/>
              <w:keepNext w:val="0"/>
              <w:spacing w:line="240" w:lineRule="auto"/>
              <w:widowControl w:val="off"/>
              <w:tabs>
                <w:tab w:val="left" w:pos="240" w:leader="none"/>
              </w:tabs>
              <w:rPr>
                <w:rFonts w:ascii="宋体" w:hAnsi="宋体" w:cs="宋体"/>
              </w:rPr>
            </w:pPr>
            <w:r>
              <w:rPr>
                <w:rFonts w:hint="eastAsia" w:ascii="宋体" w:hAnsi="宋体" w:cs="宋体"/>
              </w:rPr>
              <w:t xml:space="preserve">1</w:t>
            </w:r>
            <w:r/>
          </w:p>
        </w:tc>
        <w:tc>
          <w:tcPr>
            <w:gridSpan w:val="3"/>
            <w:tcBorders>
              <w:top w:val="single" w:color="000000" w:sz="4" w:space="0"/>
              <w:left w:val="single" w:color="000000" w:sz="4" w:space="0"/>
              <w:bottom w:val="single" w:color="000000" w:sz="4" w:space="0"/>
              <w:right w:val="single" w:color="000000" w:sz="4" w:space="0"/>
            </w:tcBorders>
            <w:tcW w:w="9829" w:type="dxa"/>
            <w:vAlign w:val="center"/>
            <w:textDirection w:val="lrTb"/>
            <w:noWrap w:val="false"/>
          </w:tcPr>
          <w:p>
            <w:pPr>
              <w:ind w:firstLine="0"/>
              <w:keepNext w:val="0"/>
              <w:spacing w:line="240" w:lineRule="auto"/>
              <w:widowControl w:val="off"/>
              <w:rPr>
                <w:rFonts w:ascii="宋体" w:hAnsi="宋体" w:cs="宋体"/>
                <w:lang w:eastAsia="zh-CN"/>
              </w:rPr>
            </w:pPr>
            <w:r>
              <w:rPr>
                <w:rFonts w:hint="eastAsia" w:ascii="宋体" w:hAnsi="宋体" w:cs="宋体"/>
                <w:sz w:val="24"/>
                <w:szCs w:val="24"/>
                <w:lang w:eastAsia="zh-CN"/>
              </w:rPr>
              <w:t xml:space="preserve">电解钢板（抽检）采用的检测标准：</w:t>
            </w:r>
            <w:r>
              <w:rPr>
                <w:rFonts w:ascii="宋体" w:hAnsi="宋体" w:cs="宋体"/>
                <w:sz w:val="24"/>
                <w:szCs w:val="24"/>
                <w:lang w:eastAsia="zh-CN"/>
              </w:rPr>
              <w:t xml:space="preserve">QB/T 4</w:t>
            </w:r>
            <w:r>
              <w:rPr>
                <w:rFonts w:hint="eastAsia" w:ascii="宋体" w:hAnsi="宋体" w:cs="宋体"/>
                <w:sz w:val="24"/>
                <w:szCs w:val="24"/>
                <w:lang w:val="en-US" w:eastAsia="zh-CN"/>
              </w:rPr>
              <w:t xml:space="preserve">767</w:t>
            </w:r>
            <w:r>
              <w:rPr>
                <w:rFonts w:ascii="宋体" w:hAnsi="宋体" w:cs="宋体"/>
                <w:sz w:val="24"/>
                <w:szCs w:val="24"/>
                <w:lang w:eastAsia="zh-CN"/>
              </w:rPr>
              <w:t xml:space="preserve">-201</w:t>
            </w:r>
            <w:r>
              <w:rPr>
                <w:rFonts w:hint="eastAsia" w:ascii="宋体" w:hAnsi="宋体" w:cs="宋体"/>
                <w:sz w:val="24"/>
                <w:szCs w:val="24"/>
                <w:lang w:val="en-US" w:eastAsia="zh-CN"/>
              </w:rPr>
              <w:t xml:space="preserve">4、GB/T 11253-2019、</w:t>
            </w:r>
            <w:r>
              <w:rPr>
                <w:rFonts w:hint="eastAsia" w:ascii="宋体" w:hAnsi="宋体" w:cs="宋体"/>
                <w:sz w:val="24"/>
                <w:szCs w:val="24"/>
                <w:lang w:eastAsia="zh-CN"/>
              </w:rPr>
              <w:t xml:space="preserve">QB/T 3827-1999、</w:t>
            </w:r>
            <w:r>
              <w:rPr>
                <w:rFonts w:ascii="宋体" w:hAnsi="宋体" w:cs="宋体"/>
                <w:color w:val="auto"/>
                <w:sz w:val="24"/>
                <w:szCs w:val="24"/>
                <w:lang w:eastAsia="zh-CN"/>
              </w:rPr>
              <w:t xml:space="preserve">QB/T 3832-1999</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firstLine="0"/>
              <w:jc w:val="center"/>
              <w:keepNext w:val="0"/>
              <w:spacing w:line="240" w:lineRule="auto"/>
              <w:widowControl w:val="off"/>
              <w:tabs>
                <w:tab w:val="left" w:pos="240" w:leader="none"/>
              </w:tabs>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pStyle w:val="919"/>
              <w:ind w:firstLine="0"/>
              <w:jc w:val="left"/>
              <w:keepNext w:val="0"/>
              <w:spacing w:line="240" w:lineRule="auto"/>
              <w:rPr>
                <w:rFonts w:hint="default" w:ascii="宋体" w:hAnsi="宋体" w:cs="宋体"/>
                <w:sz w:val="21"/>
                <w:szCs w:val="21"/>
                <w:lang w:val="en-US" w:eastAsia="zh-CN"/>
              </w:rPr>
            </w:pPr>
            <w:r>
              <w:rPr>
                <w:rFonts w:hint="eastAsia" w:ascii="宋体" w:hAnsi="宋体" w:cs="宋体"/>
                <w:szCs w:val="21"/>
              </w:rPr>
              <w:t xml:space="preserve">检测内容包含：</w:t>
            </w:r>
            <w:r>
              <w:rPr>
                <w:rFonts w:hint="eastAsia" w:ascii="宋体" w:hAnsi="宋体" w:cs="宋体"/>
                <w:sz w:val="21"/>
                <w:szCs w:val="21"/>
                <w:lang w:val="en-US" w:eastAsia="zh-CN"/>
              </w:rPr>
              <w:t xml:space="preserve">涂层厚度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cs="宋体"/>
                <w:sz w:val="21"/>
                <w:szCs w:val="21"/>
                <w:lang w:eastAsia="zh-CN"/>
              </w:rPr>
              <w:t xml:space="preserve">0μm；</w:t>
            </w:r>
            <w:r>
              <w:rPr>
                <w:rFonts w:hint="eastAsia" w:ascii="宋体" w:hAnsi="宋体" w:cs="宋体"/>
                <w:sz w:val="21"/>
                <w:szCs w:val="21"/>
                <w:lang w:val="en-US" w:eastAsia="zh-CN"/>
              </w:rPr>
              <w:t xml:space="preserve">屈服强度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235MPa；抗拉强度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370MPa；断后伸长率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20%；</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300h，金属表面</w:t>
            </w:r>
            <w:r>
              <w:rPr>
                <w:rFonts w:hint="eastAsia" w:ascii="宋体" w:hAnsi="宋体" w:cs="宋体"/>
                <w:sz w:val="21"/>
                <w:szCs w:val="21"/>
                <w:lang w:eastAsia="zh-CN"/>
              </w:rPr>
              <w:t xml:space="preserve">镀（涂）层本身耐腐蚀等级达到</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级；</w:t>
            </w:r>
            <w:r/>
          </w:p>
          <w:p>
            <w:pPr>
              <w:pStyle w:val="919"/>
              <w:ind w:firstLine="0"/>
              <w:jc w:val="left"/>
              <w:keepNext w:val="0"/>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pStyle w:val="919"/>
              <w:ind w:firstLine="0"/>
              <w:jc w:val="left"/>
              <w:keepNext w:val="0"/>
              <w:spacing w:line="240" w:lineRule="auto"/>
              <w:rPr>
                <w:rFonts w:hint="default" w:ascii="宋体" w:hAnsi="宋体" w:cs="宋体"/>
                <w:sz w:val="21"/>
                <w:szCs w:val="21"/>
                <w:lang w:val="en-US" w:eastAsia="zh-CN"/>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涂层厚度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7</w:t>
            </w:r>
            <w:r>
              <w:rPr>
                <w:rFonts w:hint="eastAsia" w:ascii="宋体" w:hAnsi="宋体" w:cs="宋体"/>
                <w:sz w:val="21"/>
                <w:szCs w:val="21"/>
                <w:lang w:eastAsia="zh-CN"/>
              </w:rPr>
              <w:t xml:space="preserve">0μm；</w:t>
            </w:r>
            <w:r>
              <w:rPr>
                <w:rFonts w:hint="eastAsia" w:ascii="宋体" w:hAnsi="宋体" w:cs="宋体"/>
                <w:sz w:val="21"/>
                <w:szCs w:val="21"/>
                <w:lang w:val="en-US" w:eastAsia="zh-CN"/>
              </w:rPr>
              <w:t xml:space="preserve">屈服强度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255MPa；抗拉强度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390MPa；断后伸长率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22%；</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300h，金属表面</w:t>
            </w:r>
            <w:r>
              <w:rPr>
                <w:rFonts w:hint="eastAsia" w:ascii="宋体" w:hAnsi="宋体" w:cs="宋体"/>
                <w:sz w:val="21"/>
                <w:szCs w:val="21"/>
                <w:lang w:eastAsia="zh-CN"/>
              </w:rPr>
              <w:t xml:space="preserve">镀（涂）层本身耐腐蚀等级达到</w:t>
            </w:r>
            <w:r>
              <w:rPr>
                <w:rFonts w:hint="eastAsia" w:ascii="宋体" w:hAnsi="宋体" w:cs="宋体"/>
                <w:sz w:val="21"/>
                <w:szCs w:val="21"/>
                <w:lang w:val="en-US" w:eastAsia="zh-CN"/>
              </w:rPr>
              <w:t xml:space="preserve">9</w:t>
            </w:r>
            <w:r>
              <w:rPr>
                <w:rFonts w:hint="eastAsia" w:ascii="宋体" w:hAnsi="宋体" w:cs="宋体"/>
                <w:sz w:val="21"/>
                <w:szCs w:val="21"/>
                <w:lang w:eastAsia="zh-CN"/>
              </w:rPr>
              <w:t xml:space="preserve">级；</w:t>
            </w:r>
            <w:r/>
          </w:p>
          <w:p>
            <w:pPr>
              <w:pStyle w:val="919"/>
              <w:ind w:firstLine="0"/>
              <w:jc w:val="left"/>
              <w:keepNext w:val="0"/>
              <w:spacing w:line="240" w:lineRule="auto"/>
              <w:rPr>
                <w:rFonts w:ascii="宋体" w:hAnsi="宋体" w:cs="宋体"/>
                <w:sz w:val="24"/>
              </w:rPr>
            </w:pPr>
            <w:r>
              <w:rPr>
                <w:rFonts w:hint="eastAsia" w:ascii="宋体" w:hAnsi="宋体" w:cs="宋体"/>
                <w:b/>
                <w:bCs/>
                <w:sz w:val="21"/>
                <w:szCs w:val="21"/>
                <w:lang w:eastAsia="zh-CN"/>
              </w:rPr>
              <w:t xml:space="preserve">满足以上要求的得0.5分。</w:t>
            </w:r>
            <w:r/>
          </w:p>
        </w:tc>
        <w:tc>
          <w:tcPr>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pStyle w:val="919"/>
              <w:ind w:firstLine="0"/>
              <w:jc w:val="left"/>
              <w:keepNext w:val="0"/>
              <w:spacing w:line="240" w:lineRule="auto"/>
              <w:rPr>
                <w:rFonts w:hint="default" w:ascii="宋体" w:hAnsi="宋体" w:cs="宋体"/>
                <w:sz w:val="21"/>
                <w:szCs w:val="21"/>
                <w:lang w:val="en-US" w:eastAsia="zh-CN"/>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涂层厚度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w:t>
            </w:r>
            <w:r>
              <w:rPr>
                <w:rFonts w:hint="eastAsia" w:ascii="宋体" w:hAnsi="宋体" w:cs="宋体"/>
                <w:sz w:val="21"/>
                <w:szCs w:val="21"/>
                <w:lang w:eastAsia="zh-CN"/>
              </w:rPr>
              <w:t xml:space="preserve">0μm；</w:t>
            </w:r>
            <w:r>
              <w:rPr>
                <w:rFonts w:hint="eastAsia" w:ascii="宋体" w:hAnsi="宋体" w:cs="宋体"/>
                <w:sz w:val="21"/>
                <w:szCs w:val="21"/>
                <w:lang w:val="en-US" w:eastAsia="zh-CN"/>
              </w:rPr>
              <w:t xml:space="preserve">屈服强度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315MPa；抗拉强度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430MPa；断后伸长率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30%；</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300h，金属表面</w:t>
            </w:r>
            <w:r>
              <w:rPr>
                <w:rFonts w:hint="eastAsia" w:ascii="宋体" w:hAnsi="宋体" w:cs="宋体"/>
                <w:sz w:val="21"/>
                <w:szCs w:val="21"/>
                <w:lang w:eastAsia="zh-CN"/>
              </w:rPr>
              <w:t xml:space="preserve">镀（涂）层本身耐腐蚀等级达到</w:t>
            </w:r>
            <w:r>
              <w:rPr>
                <w:rFonts w:hint="eastAsia" w:ascii="宋体" w:hAnsi="宋体" w:cs="宋体"/>
                <w:sz w:val="21"/>
                <w:szCs w:val="21"/>
                <w:lang w:val="en-US" w:eastAsia="zh-CN"/>
              </w:rPr>
              <w:t xml:space="preserve">10</w:t>
            </w:r>
            <w:r>
              <w:rPr>
                <w:rFonts w:hint="eastAsia" w:ascii="宋体" w:hAnsi="宋体" w:cs="宋体"/>
                <w:sz w:val="21"/>
                <w:szCs w:val="21"/>
                <w:lang w:eastAsia="zh-CN"/>
              </w:rPr>
              <w:t xml:space="preserve">级；</w:t>
            </w:r>
            <w:r/>
          </w:p>
          <w:p>
            <w:pPr>
              <w:pStyle w:val="919"/>
              <w:ind w:firstLine="0"/>
              <w:jc w:val="left"/>
              <w:keepNext w:val="0"/>
              <w:spacing w:line="240" w:lineRule="auto"/>
              <w:rPr>
                <w:rFonts w:ascii="宋体" w:hAnsi="宋体" w:cs="宋体"/>
                <w:sz w:val="24"/>
              </w:rPr>
            </w:pPr>
            <w:r>
              <w:rPr>
                <w:rFonts w:hint="eastAsia" w:ascii="宋体" w:hAnsi="宋体" w:cs="宋体"/>
                <w:b/>
                <w:bCs/>
                <w:sz w:val="21"/>
                <w:szCs w:val="21"/>
                <w:lang w:eastAsia="zh-CN"/>
              </w:rPr>
              <w:t xml:space="preserve">满足以上要求的得1分。</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firstLine="0"/>
              <w:jc w:val="center"/>
              <w:keepNext w:val="0"/>
              <w:spacing w:line="240" w:lineRule="auto"/>
              <w:widowControl w:val="off"/>
              <w:tabs>
                <w:tab w:val="left" w:pos="240" w:leader="none"/>
              </w:tabs>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9829" w:type="dxa"/>
            <w:vAlign w:val="center"/>
            <w:textDirection w:val="lrTb"/>
            <w:noWrap w:val="false"/>
          </w:tcPr>
          <w:p>
            <w:pPr>
              <w:ind w:firstLine="0"/>
              <w:keepNext w:val="0"/>
              <w:spacing w:line="240" w:lineRule="auto"/>
              <w:widowControl w:val="off"/>
              <w:rPr>
                <w:rFonts w:ascii="宋体" w:hAnsi="宋体" w:cs="宋体"/>
              </w:rPr>
            </w:pPr>
            <w:r>
              <w:rPr>
                <w:rFonts w:hint="eastAsia" w:ascii="宋体" w:hAnsi="宋体" w:cs="宋体"/>
                <w:sz w:val="24"/>
                <w:szCs w:val="24"/>
                <w:lang w:val="en-US" w:eastAsia="zh-CN"/>
              </w:rPr>
              <w:t xml:space="preserve">抗菌粉末</w:t>
            </w:r>
            <w:r>
              <w:rPr>
                <w:rFonts w:hint="eastAsia" w:ascii="宋体" w:hAnsi="宋体" w:cs="宋体"/>
                <w:sz w:val="24"/>
                <w:szCs w:val="24"/>
              </w:rPr>
              <w:t xml:space="preserve">（抽检）采用的检测标准：</w:t>
            </w:r>
            <w:r>
              <w:rPr>
                <w:rFonts w:ascii="宋体" w:hAnsi="宋体" w:cs="宋体"/>
                <w:sz w:val="24"/>
                <w:szCs w:val="24"/>
              </w:rPr>
              <w:t xml:space="preserve">HG/T</w:t>
            </w:r>
            <w:r>
              <w:rPr>
                <w:rFonts w:hint="eastAsia" w:ascii="宋体" w:hAnsi="宋体" w:cs="宋体"/>
                <w:sz w:val="24"/>
                <w:szCs w:val="24"/>
              </w:rPr>
              <w:t xml:space="preserve"> </w:t>
            </w:r>
            <w:r>
              <w:rPr>
                <w:rFonts w:ascii="宋体" w:hAnsi="宋体" w:cs="宋体"/>
                <w:sz w:val="24"/>
                <w:szCs w:val="24"/>
              </w:rPr>
              <w:t xml:space="preserve">2006-2022</w:t>
            </w:r>
            <w:r>
              <w:rPr>
                <w:rFonts w:hint="eastAsia" w:ascii="宋体" w:hAnsi="宋体" w:cs="宋体"/>
                <w:sz w:val="24"/>
                <w:szCs w:val="24"/>
                <w:lang w:eastAsia="zh-CN"/>
              </w:rPr>
              <w:t xml:space="preserve">、</w:t>
            </w:r>
            <w:r>
              <w:rPr>
                <w:rFonts w:ascii="宋体" w:hAnsi="宋体" w:cs="宋体"/>
                <w:sz w:val="24"/>
                <w:szCs w:val="24"/>
              </w:rPr>
              <w:t xml:space="preserve">GB</w:t>
            </w:r>
            <w:r>
              <w:rPr>
                <w:rFonts w:hint="eastAsia" w:ascii="宋体" w:hAnsi="宋体" w:cs="宋体"/>
                <w:sz w:val="24"/>
                <w:szCs w:val="24"/>
              </w:rPr>
              <w:t xml:space="preserve"> </w:t>
            </w:r>
            <w:r>
              <w:rPr>
                <w:rFonts w:hint="eastAsia" w:ascii="宋体" w:hAnsi="宋体" w:cs="宋体"/>
                <w:sz w:val="24"/>
                <w:szCs w:val="24"/>
                <w:lang w:val="en-US" w:eastAsia="zh-CN"/>
              </w:rPr>
              <w:t xml:space="preserve">18584</w:t>
            </w:r>
            <w:r>
              <w:rPr>
                <w:rFonts w:ascii="宋体" w:hAnsi="宋体" w:cs="宋体"/>
                <w:sz w:val="24"/>
                <w:szCs w:val="24"/>
              </w:rPr>
              <w:t xml:space="preserve">-</w:t>
            </w:r>
            <w:r>
              <w:rPr>
                <w:rFonts w:hint="eastAsia" w:ascii="宋体" w:hAnsi="宋体" w:cs="宋体"/>
                <w:sz w:val="24"/>
                <w:szCs w:val="24"/>
                <w:lang w:val="en-US" w:eastAsia="zh-CN"/>
              </w:rPr>
              <w:t xml:space="preserve">2024</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Q</w:t>
            </w:r>
            <w:r>
              <w:rPr>
                <w:rFonts w:ascii="宋体" w:hAnsi="宋体" w:cs="宋体"/>
                <w:sz w:val="24"/>
                <w:szCs w:val="24"/>
              </w:rPr>
              <w:t xml:space="preserve">B/T</w:t>
            </w:r>
            <w:r>
              <w:rPr>
                <w:rFonts w:hint="eastAsia" w:ascii="宋体" w:hAnsi="宋体" w:cs="宋体"/>
                <w:sz w:val="24"/>
                <w:szCs w:val="24"/>
              </w:rPr>
              <w:t xml:space="preserve"> </w:t>
            </w:r>
            <w:r>
              <w:rPr>
                <w:rFonts w:hint="eastAsia" w:ascii="宋体" w:hAnsi="宋体" w:cs="宋体"/>
                <w:sz w:val="24"/>
                <w:szCs w:val="24"/>
                <w:lang w:val="en-US" w:eastAsia="zh-CN"/>
              </w:rPr>
              <w:t xml:space="preserve">4371</w:t>
            </w:r>
            <w:r>
              <w:rPr>
                <w:rFonts w:ascii="宋体" w:hAnsi="宋体" w:cs="宋体"/>
                <w:sz w:val="24"/>
                <w:szCs w:val="24"/>
              </w:rPr>
              <w:t xml:space="preserve">-</w:t>
            </w:r>
            <w:r>
              <w:rPr>
                <w:rFonts w:hint="eastAsia" w:ascii="宋体" w:hAnsi="宋体" w:cs="宋体"/>
                <w:sz w:val="24"/>
                <w:szCs w:val="24"/>
                <w:lang w:val="en-US" w:eastAsia="zh-CN"/>
              </w:rPr>
              <w:t xml:space="preserve">2012</w:t>
            </w:r>
            <w:r>
              <w:rPr>
                <w:rFonts w:hint="eastAsia" w:ascii="宋体" w:hAnsi="宋体" w:cs="宋体"/>
                <w:sz w:val="24"/>
                <w:szCs w:val="24"/>
                <w:lang w:eastAsia="zh-CN"/>
              </w:rPr>
              <w:t xml:space="preserve">、</w:t>
            </w:r>
            <w:r>
              <w:rPr>
                <w:rFonts w:ascii="宋体" w:hAnsi="宋体" w:cs="宋体"/>
                <w:sz w:val="24"/>
                <w:szCs w:val="24"/>
              </w:rPr>
              <w:t xml:space="preserve">GB/T 174</w:t>
            </w:r>
            <w:r>
              <w:rPr>
                <w:rFonts w:hint="eastAsia" w:ascii="宋体" w:hAnsi="宋体" w:cs="宋体"/>
                <w:sz w:val="24"/>
                <w:szCs w:val="24"/>
                <w:lang w:val="en-US" w:eastAsia="zh-CN"/>
              </w:rPr>
              <w:t xml:space="preserve">1</w:t>
            </w:r>
            <w:r>
              <w:rPr>
                <w:rFonts w:ascii="宋体" w:hAnsi="宋体" w:cs="宋体"/>
                <w:sz w:val="24"/>
                <w:szCs w:val="24"/>
              </w:rPr>
              <w:t xml:space="preserve">-20</w:t>
            </w:r>
            <w:r>
              <w:rPr>
                <w:rFonts w:hint="eastAsia" w:ascii="宋体" w:hAnsi="宋体" w:cs="宋体"/>
                <w:sz w:val="24"/>
                <w:szCs w:val="24"/>
                <w:lang w:val="en-US" w:eastAsia="zh-CN"/>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firstLine="0"/>
              <w:jc w:val="center"/>
              <w:keepNext w:val="0"/>
              <w:spacing w:line="240" w:lineRule="auto"/>
              <w:widowControl w:val="off"/>
              <w:tabs>
                <w:tab w:val="left" w:pos="240" w:leader="none"/>
              </w:tabs>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ind w:firstLine="0"/>
              <w:jc w:val="left"/>
              <w:keepNext w:val="0"/>
              <w:spacing w:line="240" w:lineRule="auto"/>
              <w:widowControl w:val="off"/>
              <w:rPr>
                <w:rFonts w:hint="default" w:ascii="宋体" w:hAnsi="宋体" w:cs="宋体"/>
                <w:lang w:val="en-US" w:eastAsia="zh-CN"/>
              </w:rPr>
            </w:pPr>
            <w:r>
              <w:rPr>
                <w:rFonts w:hint="eastAsia" w:ascii="宋体" w:hAnsi="宋体" w:cs="宋体"/>
                <w:sz w:val="21"/>
                <w:szCs w:val="21"/>
                <w:lang w:eastAsia="zh-CN"/>
              </w:rPr>
              <w:t xml:space="preserve">检测项目包含：耐湿热性≥1</w:t>
            </w:r>
            <w:r>
              <w:rPr>
                <w:rFonts w:hint="eastAsia" w:ascii="宋体" w:hAnsi="宋体" w:cs="宋体"/>
                <w:sz w:val="21"/>
                <w:szCs w:val="21"/>
                <w:lang w:val="en-US" w:eastAsia="zh-CN"/>
              </w:rPr>
              <w:t xml:space="preserve">00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无异常</w:t>
            </w:r>
            <w:r>
              <w:rPr>
                <w:rFonts w:hint="eastAsia" w:ascii="宋体" w:hAnsi="宋体" w:cs="宋体"/>
                <w:sz w:val="21"/>
                <w:szCs w:val="21"/>
                <w:lang w:eastAsia="zh-CN"/>
              </w:rPr>
              <w:t xml:space="preserve">，附着力</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级；有害物质限量的</w:t>
            </w:r>
            <w:r>
              <w:rPr>
                <w:rFonts w:hint="eastAsia" w:ascii="宋体" w:hAnsi="宋体" w:cs="宋体"/>
                <w:sz w:val="21"/>
                <w:szCs w:val="21"/>
                <w:lang w:val="en-US" w:eastAsia="zh-CN"/>
              </w:rPr>
              <w:t xml:space="preserve">可迁移有害元素－</w:t>
            </w:r>
            <w:r>
              <w:rPr>
                <w:rFonts w:hint="eastAsia" w:ascii="宋体" w:hAnsi="宋体" w:cs="宋体"/>
                <w:sz w:val="21"/>
                <w:szCs w:val="21"/>
                <w:lang w:eastAsia="zh-CN"/>
              </w:rPr>
              <w:t xml:space="preserve">铅（Pb）含量≤90mg/kg，镉（Cd）含量≤75mg/kg，铬（Cr）含量≤60mg/kg，汞（Hg）含量≤60mg/kg）；</w:t>
            </w:r>
            <w:r>
              <w:rPr>
                <w:rFonts w:hint="eastAsia" w:ascii="宋体" w:hAnsi="宋体" w:cs="宋体"/>
                <w:sz w:val="21"/>
                <w:szCs w:val="21"/>
                <w:lang w:val="en-US" w:eastAsia="zh-CN"/>
              </w:rPr>
              <w:t xml:space="preserve">抑菌率</w:t>
            </w:r>
            <w:r>
              <w:rPr>
                <w:rFonts w:hint="eastAsia" w:ascii="宋体" w:hAnsi="宋体" w:cs="宋体"/>
                <w:sz w:val="21"/>
                <w:szCs w:val="21"/>
                <w:lang w:eastAsia="zh-CN"/>
              </w:rPr>
              <w:t xml:space="preserve">（肺炎克雷伯氏菌，金黄色葡萄球菌，</w:t>
            </w:r>
            <w:r>
              <w:rPr>
                <w:rFonts w:hint="eastAsia" w:ascii="宋体" w:hAnsi="宋体"/>
                <w:sz w:val="21"/>
                <w:szCs w:val="21"/>
                <w:lang w:eastAsia="zh-CN"/>
              </w:rPr>
              <w:t xml:space="preserve"> </w:t>
            </w:r>
            <w:r>
              <w:rPr>
                <w:rFonts w:hint="eastAsia" w:ascii="宋体" w:hAnsi="宋体" w:cs="宋体"/>
                <w:sz w:val="21"/>
                <w:szCs w:val="21"/>
                <w:lang w:val="en-US" w:eastAsia="zh-CN"/>
              </w:rPr>
              <w:t xml:space="preserve">大肠杆</w:t>
            </w:r>
            <w:r>
              <w:rPr>
                <w:rFonts w:hint="eastAsia" w:ascii="宋体" w:hAnsi="宋体" w:cs="宋体"/>
                <w:sz w:val="21"/>
                <w:szCs w:val="21"/>
                <w:lang w:eastAsia="zh-CN"/>
              </w:rPr>
              <w:t xml:space="preserve">菌）≥9</w:t>
            </w:r>
            <w:r>
              <w:rPr>
                <w:rFonts w:hint="eastAsia" w:ascii="宋体" w:hAnsi="宋体" w:cs="宋体"/>
                <w:sz w:val="21"/>
                <w:szCs w:val="21"/>
                <w:lang w:val="en-US" w:eastAsia="zh-CN"/>
              </w:rPr>
              <w:t xml:space="preserve">9</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耐</w:t>
            </w:r>
            <w:r>
              <w:rPr>
                <w:rFonts w:hint="eastAsia" w:ascii="宋体" w:hAnsi="宋体" w:cs="宋体"/>
                <w:sz w:val="21"/>
                <w:szCs w:val="21"/>
                <w:lang w:eastAsia="zh-CN"/>
              </w:rPr>
              <w:t xml:space="preserve">霉菌</w:t>
            </w:r>
            <w:r>
              <w:rPr>
                <w:rFonts w:hint="eastAsia" w:ascii="宋体" w:hAnsi="宋体" w:cs="宋体"/>
                <w:sz w:val="21"/>
                <w:szCs w:val="21"/>
                <w:lang w:val="en-US" w:eastAsia="zh-CN"/>
              </w:rPr>
              <w:t xml:space="preserve">性</w:t>
            </w:r>
            <w:r>
              <w:rPr>
                <w:rFonts w:hint="eastAsia" w:ascii="宋体" w:hAnsi="宋体" w:cs="宋体"/>
                <w:sz w:val="21"/>
                <w:szCs w:val="21"/>
                <w:lang w:eastAsia="zh-CN"/>
              </w:rPr>
              <w:t xml:space="preserve">等级（绳状青霉、出芽短梗霉、球毛壳霉、</w:t>
            </w:r>
            <w:r>
              <w:rPr>
                <w:rFonts w:hint="eastAsia" w:ascii="宋体" w:hAnsi="宋体" w:cs="宋体"/>
                <w:sz w:val="21"/>
                <w:szCs w:val="21"/>
                <w:lang w:val="en-US" w:eastAsia="zh-CN"/>
              </w:rPr>
              <w:t xml:space="preserve">大毛</w:t>
            </w:r>
            <w:r>
              <w:rPr>
                <w:rFonts w:hint="eastAsia" w:ascii="宋体" w:hAnsi="宋体" w:cs="宋体"/>
                <w:sz w:val="21"/>
                <w:szCs w:val="21"/>
                <w:lang w:eastAsia="zh-CN"/>
              </w:rPr>
              <w:t xml:space="preserve">霉、宛氏拟青霉）2级；</w:t>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ind w:firstLine="0"/>
              <w:jc w:val="left"/>
              <w:keepNext w:val="0"/>
              <w:spacing w:line="24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检测项目包含：耐湿热性≥</w:t>
            </w:r>
            <w:r>
              <w:rPr>
                <w:rFonts w:hint="eastAsia" w:ascii="宋体" w:hAnsi="宋体" w:cs="宋体"/>
                <w:sz w:val="21"/>
                <w:szCs w:val="21"/>
                <w:lang w:val="en-US" w:eastAsia="zh-CN"/>
              </w:rPr>
              <w:t xml:space="preserve">150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无异常</w:t>
            </w:r>
            <w:r>
              <w:rPr>
                <w:rFonts w:hint="eastAsia" w:ascii="宋体" w:hAnsi="宋体" w:cs="宋体"/>
                <w:sz w:val="21"/>
                <w:szCs w:val="21"/>
                <w:lang w:eastAsia="zh-CN"/>
              </w:rPr>
              <w:t xml:space="preserve">，附着力2级；有害物质限量的</w:t>
            </w:r>
            <w:r>
              <w:rPr>
                <w:rFonts w:hint="eastAsia" w:ascii="宋体" w:hAnsi="宋体" w:cs="宋体"/>
                <w:sz w:val="21"/>
                <w:szCs w:val="21"/>
                <w:lang w:val="en-US" w:eastAsia="zh-CN"/>
              </w:rPr>
              <w:t xml:space="preserve">可迁移有害元素－</w:t>
            </w:r>
            <w:r>
              <w:rPr>
                <w:rFonts w:hint="eastAsia" w:ascii="宋体" w:hAnsi="宋体" w:cs="宋体"/>
                <w:sz w:val="21"/>
                <w:szCs w:val="21"/>
                <w:lang w:eastAsia="zh-CN"/>
              </w:rPr>
              <w:t xml:space="preserve">铅（Pb）含量≤</w:t>
            </w:r>
            <w:r>
              <w:rPr>
                <w:rFonts w:hint="eastAsia" w:ascii="宋体" w:hAnsi="宋体" w:cs="宋体"/>
                <w:sz w:val="21"/>
                <w:szCs w:val="21"/>
                <w:lang w:val="en-US" w:eastAsia="zh-CN"/>
              </w:rPr>
              <w:t xml:space="preserve">60</w:t>
            </w:r>
            <w:r>
              <w:rPr>
                <w:rFonts w:hint="eastAsia" w:ascii="宋体" w:hAnsi="宋体" w:cs="宋体"/>
                <w:sz w:val="21"/>
                <w:szCs w:val="21"/>
                <w:lang w:eastAsia="zh-CN"/>
              </w:rPr>
              <w:t xml:space="preserve">mg/kg，镉（Cd）含量≤</w:t>
            </w:r>
            <w:r>
              <w:rPr>
                <w:rFonts w:hint="eastAsia" w:ascii="宋体" w:hAnsi="宋体" w:cs="宋体"/>
                <w:sz w:val="21"/>
                <w:szCs w:val="21"/>
                <w:lang w:val="en-US" w:eastAsia="zh-CN"/>
              </w:rPr>
              <w:t xml:space="preserve">50</w:t>
            </w:r>
            <w:r>
              <w:rPr>
                <w:rFonts w:hint="eastAsia" w:ascii="宋体" w:hAnsi="宋体" w:cs="宋体"/>
                <w:sz w:val="21"/>
                <w:szCs w:val="21"/>
                <w:lang w:eastAsia="zh-CN"/>
              </w:rPr>
              <w:t xml:space="preserve">mg/kg，铬（Cr）含量≤</w:t>
            </w:r>
            <w:r>
              <w:rPr>
                <w:rFonts w:hint="eastAsia" w:ascii="宋体" w:hAnsi="宋体" w:cs="宋体"/>
                <w:sz w:val="21"/>
                <w:szCs w:val="21"/>
                <w:lang w:val="en-US" w:eastAsia="zh-CN"/>
              </w:rPr>
              <w:t xml:space="preserve">5</w:t>
            </w:r>
            <w:r>
              <w:rPr>
                <w:rFonts w:hint="eastAsia" w:ascii="宋体" w:hAnsi="宋体" w:cs="宋体"/>
                <w:sz w:val="21"/>
                <w:szCs w:val="21"/>
                <w:lang w:eastAsia="zh-CN"/>
              </w:rPr>
              <w:t xml:space="preserve">0mg/kg，汞（Hg）含量≤</w:t>
            </w:r>
            <w:r>
              <w:rPr>
                <w:rFonts w:hint="eastAsia" w:ascii="宋体" w:hAnsi="宋体" w:cs="宋体"/>
                <w:sz w:val="21"/>
                <w:szCs w:val="21"/>
                <w:lang w:val="en-US" w:eastAsia="zh-CN"/>
              </w:rPr>
              <w:t xml:space="preserve">5</w:t>
            </w:r>
            <w:r>
              <w:rPr>
                <w:rFonts w:hint="eastAsia" w:ascii="宋体" w:hAnsi="宋体" w:cs="宋体"/>
                <w:sz w:val="21"/>
                <w:szCs w:val="21"/>
                <w:lang w:eastAsia="zh-CN"/>
              </w:rPr>
              <w:t xml:space="preserve">0mg/kg）；</w:t>
            </w:r>
            <w:r>
              <w:rPr>
                <w:rFonts w:hint="eastAsia" w:ascii="宋体" w:hAnsi="宋体" w:cs="宋体"/>
                <w:sz w:val="21"/>
                <w:szCs w:val="21"/>
                <w:lang w:val="en-US" w:eastAsia="zh-CN"/>
              </w:rPr>
              <w:t xml:space="preserve">抑菌率</w:t>
            </w:r>
            <w:r>
              <w:rPr>
                <w:rFonts w:hint="eastAsia" w:ascii="宋体" w:hAnsi="宋体" w:cs="宋体"/>
                <w:sz w:val="21"/>
                <w:szCs w:val="21"/>
                <w:lang w:eastAsia="zh-CN"/>
              </w:rPr>
              <w:t xml:space="preserve">（肺炎克雷伯氏菌，金黄色葡萄球菌，</w:t>
            </w:r>
            <w:r>
              <w:rPr>
                <w:rFonts w:hint="eastAsia" w:ascii="宋体" w:hAnsi="宋体" w:cs="宋体"/>
                <w:sz w:val="21"/>
                <w:szCs w:val="21"/>
                <w:lang w:val="en-US" w:eastAsia="zh-CN"/>
              </w:rPr>
              <w:t xml:space="preserve">大肠杆</w:t>
            </w:r>
            <w:r>
              <w:rPr>
                <w:rFonts w:hint="eastAsia" w:ascii="宋体" w:hAnsi="宋体" w:cs="宋体"/>
                <w:sz w:val="21"/>
                <w:szCs w:val="21"/>
                <w:lang w:eastAsia="zh-CN"/>
              </w:rPr>
              <w:t xml:space="preserve">菌）≥9</w:t>
            </w:r>
            <w:r>
              <w:rPr>
                <w:rFonts w:hint="eastAsia" w:ascii="宋体" w:hAnsi="宋体" w:cs="宋体"/>
                <w:sz w:val="21"/>
                <w:szCs w:val="21"/>
                <w:lang w:val="en-US" w:eastAsia="zh-CN"/>
              </w:rPr>
              <w:t xml:space="preserve">9.2</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耐</w:t>
            </w:r>
            <w:r>
              <w:rPr>
                <w:rFonts w:hint="eastAsia" w:ascii="宋体" w:hAnsi="宋体" w:cs="宋体"/>
                <w:sz w:val="21"/>
                <w:szCs w:val="21"/>
                <w:lang w:eastAsia="zh-CN"/>
              </w:rPr>
              <w:t xml:space="preserve">霉菌</w:t>
            </w:r>
            <w:r>
              <w:rPr>
                <w:rFonts w:hint="eastAsia" w:ascii="宋体" w:hAnsi="宋体" w:cs="宋体"/>
                <w:sz w:val="21"/>
                <w:szCs w:val="21"/>
                <w:lang w:val="en-US" w:eastAsia="zh-CN"/>
              </w:rPr>
              <w:t xml:space="preserve">性</w:t>
            </w:r>
            <w:r>
              <w:rPr>
                <w:rFonts w:hint="eastAsia" w:ascii="宋体" w:hAnsi="宋体" w:cs="宋体"/>
                <w:sz w:val="21"/>
                <w:szCs w:val="21"/>
                <w:lang w:eastAsia="zh-CN"/>
              </w:rPr>
              <w:t xml:space="preserve">等级（绳状青霉、出芽短梗霉、球毛壳霉、</w:t>
            </w:r>
            <w:r>
              <w:rPr>
                <w:rFonts w:hint="eastAsia" w:ascii="宋体" w:hAnsi="宋体" w:cs="宋体"/>
                <w:sz w:val="21"/>
                <w:szCs w:val="21"/>
                <w:lang w:val="en-US" w:eastAsia="zh-CN"/>
              </w:rPr>
              <w:t xml:space="preserve">大毛</w:t>
            </w:r>
            <w:r>
              <w:rPr>
                <w:rFonts w:hint="eastAsia" w:ascii="宋体" w:hAnsi="宋体" w:cs="宋体"/>
                <w:sz w:val="21"/>
                <w:szCs w:val="21"/>
                <w:lang w:eastAsia="zh-CN"/>
              </w:rPr>
              <w:t xml:space="preserve">霉、宛氏拟青霉）</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级；</w:t>
            </w:r>
            <w:r/>
          </w:p>
          <w:p>
            <w:pPr>
              <w:ind w:firstLine="0"/>
              <w:jc w:val="left"/>
              <w:keepNext w:val="0"/>
              <w:spacing w:line="240" w:lineRule="auto"/>
              <w:widowControl w:val="off"/>
              <w:rPr>
                <w:rFonts w:ascii="宋体" w:hAnsi="宋体" w:cs="宋体"/>
                <w:lang w:eastAsia="zh-CN"/>
              </w:rPr>
            </w:pPr>
            <w:r>
              <w:rPr>
                <w:rFonts w:hint="eastAsia" w:ascii="宋体" w:hAnsi="宋体" w:cs="宋体"/>
                <w:b/>
                <w:bCs/>
                <w:sz w:val="21"/>
                <w:szCs w:val="21"/>
                <w:lang w:eastAsia="zh-CN"/>
              </w:rPr>
              <w:t xml:space="preserve">满足以上要求的得0.5分。</w:t>
            </w:r>
            <w:r/>
          </w:p>
        </w:tc>
        <w:tc>
          <w:tcPr>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ind w:firstLine="0"/>
              <w:jc w:val="left"/>
              <w:keepNext w:val="0"/>
              <w:spacing w:line="24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检测项目包含：耐湿热性≥</w:t>
            </w:r>
            <w:r>
              <w:rPr>
                <w:rFonts w:hint="eastAsia" w:ascii="宋体" w:hAnsi="宋体" w:cs="宋体"/>
                <w:sz w:val="21"/>
                <w:szCs w:val="21"/>
                <w:lang w:val="en-US" w:eastAsia="zh-CN"/>
              </w:rPr>
              <w:t xml:space="preserve">300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无异常</w:t>
            </w:r>
            <w:r>
              <w:rPr>
                <w:rFonts w:hint="eastAsia" w:ascii="宋体" w:hAnsi="宋体" w:cs="宋体"/>
                <w:sz w:val="21"/>
                <w:szCs w:val="21"/>
                <w:lang w:eastAsia="zh-CN"/>
              </w:rPr>
              <w:t xml:space="preserve">，附着力</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级；有害物质限量的</w:t>
            </w:r>
            <w:r>
              <w:rPr>
                <w:rFonts w:hint="eastAsia" w:ascii="宋体" w:hAnsi="宋体" w:cs="宋体"/>
                <w:sz w:val="21"/>
                <w:szCs w:val="21"/>
                <w:lang w:val="en-US" w:eastAsia="zh-CN"/>
              </w:rPr>
              <w:t xml:space="preserve">可迁移有害元素－</w:t>
            </w:r>
            <w:r>
              <w:rPr>
                <w:rFonts w:hint="eastAsia" w:ascii="宋体" w:hAnsi="宋体" w:cs="宋体"/>
                <w:sz w:val="21"/>
                <w:szCs w:val="21"/>
                <w:lang w:eastAsia="zh-CN"/>
              </w:rPr>
              <w:t xml:space="preserve">铅（Pb）含量≤</w:t>
            </w:r>
            <w:r>
              <w:rPr>
                <w:rFonts w:hint="eastAsia" w:ascii="宋体" w:hAnsi="宋体" w:cs="宋体"/>
                <w:sz w:val="21"/>
                <w:szCs w:val="21"/>
                <w:lang w:val="en-US" w:eastAsia="zh-CN"/>
              </w:rPr>
              <w:t xml:space="preserve">5</w:t>
            </w:r>
            <w:r>
              <w:rPr>
                <w:rFonts w:hint="eastAsia" w:ascii="宋体" w:hAnsi="宋体" w:cs="宋体"/>
                <w:sz w:val="21"/>
                <w:szCs w:val="21"/>
                <w:lang w:eastAsia="zh-CN"/>
              </w:rPr>
              <w:t xml:space="preserve">mg/kg，镉（Cd）含量≤</w:t>
            </w:r>
            <w:r>
              <w:rPr>
                <w:rFonts w:hint="eastAsia" w:ascii="宋体" w:hAnsi="宋体" w:cs="宋体"/>
                <w:sz w:val="21"/>
                <w:szCs w:val="21"/>
                <w:lang w:val="en-US" w:eastAsia="zh-CN"/>
              </w:rPr>
              <w:t xml:space="preserve">5</w:t>
            </w:r>
            <w:r>
              <w:rPr>
                <w:rFonts w:hint="eastAsia" w:ascii="宋体" w:hAnsi="宋体" w:cs="宋体"/>
                <w:sz w:val="21"/>
                <w:szCs w:val="21"/>
                <w:lang w:eastAsia="zh-CN"/>
              </w:rPr>
              <w:t xml:space="preserve">mg/kg，铬（Cr）含量≤</w:t>
            </w:r>
            <w:r>
              <w:rPr>
                <w:rFonts w:hint="eastAsia" w:ascii="宋体" w:hAnsi="宋体" w:cs="宋体"/>
                <w:sz w:val="21"/>
                <w:szCs w:val="21"/>
                <w:lang w:val="en-US" w:eastAsia="zh-CN"/>
              </w:rPr>
              <w:t xml:space="preserve">5</w:t>
            </w:r>
            <w:r>
              <w:rPr>
                <w:rFonts w:hint="eastAsia" w:ascii="宋体" w:hAnsi="宋体" w:cs="宋体"/>
                <w:sz w:val="21"/>
                <w:szCs w:val="21"/>
                <w:lang w:eastAsia="zh-CN"/>
              </w:rPr>
              <w:t xml:space="preserve">mg/kg，汞（Hg）含量≤</w:t>
            </w:r>
            <w:r>
              <w:rPr>
                <w:rFonts w:hint="eastAsia" w:ascii="宋体" w:hAnsi="宋体" w:cs="宋体"/>
                <w:sz w:val="21"/>
                <w:szCs w:val="21"/>
                <w:lang w:val="en-US" w:eastAsia="zh-CN"/>
              </w:rPr>
              <w:t xml:space="preserve">5</w:t>
            </w:r>
            <w:r>
              <w:rPr>
                <w:rFonts w:hint="eastAsia" w:ascii="宋体" w:hAnsi="宋体" w:cs="宋体"/>
                <w:sz w:val="21"/>
                <w:szCs w:val="21"/>
                <w:lang w:eastAsia="zh-CN"/>
              </w:rPr>
              <w:t xml:space="preserve">mg/kg）；</w:t>
            </w:r>
            <w:r>
              <w:rPr>
                <w:rFonts w:hint="eastAsia" w:ascii="宋体" w:hAnsi="宋体" w:cs="宋体"/>
                <w:sz w:val="21"/>
                <w:szCs w:val="21"/>
                <w:lang w:val="en-US" w:eastAsia="zh-CN"/>
              </w:rPr>
              <w:t xml:space="preserve">抑菌率</w:t>
            </w:r>
            <w:r>
              <w:rPr>
                <w:rFonts w:hint="eastAsia" w:ascii="宋体" w:hAnsi="宋体" w:cs="宋体"/>
                <w:sz w:val="21"/>
                <w:szCs w:val="21"/>
                <w:lang w:eastAsia="zh-CN"/>
              </w:rPr>
              <w:t xml:space="preserve">（肺炎克雷伯氏菌，金黄色葡萄球菌，</w:t>
            </w:r>
            <w:r>
              <w:rPr>
                <w:rFonts w:hint="eastAsia" w:ascii="宋体" w:hAnsi="宋体"/>
                <w:sz w:val="21"/>
                <w:szCs w:val="21"/>
                <w:lang w:eastAsia="zh-CN"/>
              </w:rPr>
              <w:t xml:space="preserve"> </w:t>
            </w:r>
            <w:r>
              <w:rPr>
                <w:rFonts w:hint="eastAsia" w:ascii="宋体" w:hAnsi="宋体" w:cs="宋体"/>
                <w:sz w:val="21"/>
                <w:szCs w:val="21"/>
                <w:lang w:val="en-US" w:eastAsia="zh-CN"/>
              </w:rPr>
              <w:t xml:space="preserve">大肠杆</w:t>
            </w:r>
            <w:r>
              <w:rPr>
                <w:rFonts w:hint="eastAsia" w:ascii="宋体" w:hAnsi="宋体" w:cs="宋体"/>
                <w:sz w:val="21"/>
                <w:szCs w:val="21"/>
                <w:lang w:eastAsia="zh-CN"/>
              </w:rPr>
              <w:t xml:space="preserve">菌）≥9</w:t>
            </w:r>
            <w:r>
              <w:rPr>
                <w:rFonts w:hint="eastAsia" w:ascii="宋体" w:hAnsi="宋体" w:cs="宋体"/>
                <w:sz w:val="21"/>
                <w:szCs w:val="21"/>
                <w:lang w:val="en-US" w:eastAsia="zh-CN"/>
              </w:rPr>
              <w:t xml:space="preserve">9.8</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耐</w:t>
            </w:r>
            <w:r>
              <w:rPr>
                <w:rFonts w:hint="eastAsia" w:ascii="宋体" w:hAnsi="宋体" w:cs="宋体"/>
                <w:sz w:val="21"/>
                <w:szCs w:val="21"/>
                <w:lang w:eastAsia="zh-CN"/>
              </w:rPr>
              <w:t xml:space="preserve">霉菌</w:t>
            </w:r>
            <w:r>
              <w:rPr>
                <w:rFonts w:hint="eastAsia" w:ascii="宋体" w:hAnsi="宋体" w:cs="宋体"/>
                <w:sz w:val="21"/>
                <w:szCs w:val="21"/>
                <w:lang w:val="en-US" w:eastAsia="zh-CN"/>
              </w:rPr>
              <w:t xml:space="preserve">性</w:t>
            </w:r>
            <w:r>
              <w:rPr>
                <w:rFonts w:hint="eastAsia" w:ascii="宋体" w:hAnsi="宋体" w:cs="宋体"/>
                <w:sz w:val="21"/>
                <w:szCs w:val="21"/>
                <w:lang w:eastAsia="zh-CN"/>
              </w:rPr>
              <w:t xml:space="preserve">等级（绳状青霉、出芽短梗霉、球毛壳霉、</w:t>
            </w:r>
            <w:r>
              <w:rPr>
                <w:rFonts w:hint="eastAsia" w:ascii="宋体" w:hAnsi="宋体" w:cs="宋体"/>
                <w:sz w:val="21"/>
                <w:szCs w:val="21"/>
                <w:lang w:val="en-US" w:eastAsia="zh-CN"/>
              </w:rPr>
              <w:t xml:space="preserve">大毛</w:t>
            </w:r>
            <w:r>
              <w:rPr>
                <w:rFonts w:hint="eastAsia" w:ascii="宋体" w:hAnsi="宋体" w:cs="宋体"/>
                <w:sz w:val="21"/>
                <w:szCs w:val="21"/>
                <w:lang w:eastAsia="zh-CN"/>
              </w:rPr>
              <w:t xml:space="preserve">霉、宛氏拟青霉）</w:t>
            </w:r>
            <w:r>
              <w:rPr>
                <w:rFonts w:hint="eastAsia" w:ascii="宋体" w:hAnsi="宋体" w:cs="宋体"/>
                <w:sz w:val="21"/>
                <w:szCs w:val="21"/>
                <w:lang w:val="en-US" w:eastAsia="zh-CN"/>
              </w:rPr>
              <w:t xml:space="preserve">0</w:t>
            </w:r>
            <w:r>
              <w:rPr>
                <w:rFonts w:hint="eastAsia" w:ascii="宋体" w:hAnsi="宋体" w:cs="宋体"/>
                <w:sz w:val="21"/>
                <w:szCs w:val="21"/>
                <w:lang w:eastAsia="zh-CN"/>
              </w:rPr>
              <w:t xml:space="preserve">级；</w:t>
            </w:r>
            <w:r/>
          </w:p>
          <w:p>
            <w:pPr>
              <w:ind w:firstLine="0"/>
              <w:jc w:val="left"/>
              <w:keepNext w:val="0"/>
              <w:spacing w:line="240" w:lineRule="auto"/>
              <w:widowControl w:val="off"/>
              <w:rPr>
                <w:rFonts w:ascii="宋体" w:hAnsi="宋体" w:cs="宋体"/>
                <w:sz w:val="24"/>
              </w:rPr>
            </w:pPr>
            <w:r>
              <w:rPr>
                <w:rFonts w:hint="eastAsia" w:ascii="宋体" w:hAnsi="宋体" w:cs="宋体"/>
                <w:b/>
                <w:bCs/>
                <w:sz w:val="21"/>
                <w:szCs w:val="21"/>
                <w:lang w:eastAsia="zh-CN"/>
              </w:rPr>
              <w:t xml:space="preserve">满足以上要求的得1分。</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firstLine="0"/>
              <w:jc w:val="center"/>
              <w:keepNext w:val="0"/>
              <w:spacing w:line="240" w:lineRule="auto"/>
              <w:widowControl w:val="off"/>
              <w:tabs>
                <w:tab w:val="left" w:pos="240" w:leader="none"/>
              </w:tabs>
              <w:rPr>
                <w:rFonts w:ascii="宋体" w:hAnsi="宋体" w:cs="宋体"/>
              </w:rPr>
            </w:pPr>
            <w:r>
              <w:rPr>
                <w:rFonts w:hint="eastAsia" w:ascii="宋体" w:hAnsi="宋体" w:cs="宋体"/>
              </w:rPr>
              <w:t xml:space="preserve">3</w:t>
            </w:r>
            <w:r/>
          </w:p>
        </w:tc>
        <w:tc>
          <w:tcPr>
            <w:gridSpan w:val="3"/>
            <w:tcBorders>
              <w:top w:val="single" w:color="000000" w:sz="4" w:space="0"/>
              <w:left w:val="single" w:color="000000" w:sz="4" w:space="0"/>
              <w:bottom w:val="single" w:color="auto" w:sz="4" w:space="0"/>
              <w:right w:val="single" w:color="000000" w:sz="4" w:space="0"/>
            </w:tcBorders>
            <w:tcW w:w="9829" w:type="dxa"/>
            <w:vAlign w:val="center"/>
            <w:textDirection w:val="lrTb"/>
            <w:noWrap w:val="false"/>
          </w:tcPr>
          <w:p>
            <w:pPr>
              <w:ind w:firstLine="0"/>
              <w:jc w:val="both"/>
              <w:keepNext w:val="0"/>
              <w:spacing w:line="240" w:lineRule="auto"/>
              <w:widowControl w:val="off"/>
              <w:rPr>
                <w:rFonts w:ascii="宋体" w:hAnsi="宋体" w:cs="宋体"/>
                <w:lang w:eastAsia="zh-CN"/>
              </w:rPr>
            </w:pPr>
            <w:r>
              <w:rPr>
                <w:rFonts w:hint="eastAsia" w:ascii="宋体" w:hAnsi="宋体" w:cs="宋体"/>
                <w:sz w:val="24"/>
                <w:szCs w:val="24"/>
                <w:lang w:eastAsia="zh-CN"/>
              </w:rPr>
              <w:t xml:space="preserve">304不锈钢（抽检）采用的检测标准：GB/T </w:t>
            </w:r>
            <w:r>
              <w:rPr>
                <w:rFonts w:hint="eastAsia" w:ascii="宋体" w:hAnsi="宋体" w:cs="宋体"/>
                <w:sz w:val="24"/>
                <w:szCs w:val="24"/>
                <w:lang w:val="en-US" w:eastAsia="zh-CN"/>
              </w:rPr>
              <w:t xml:space="preserve">13448</w:t>
            </w:r>
            <w:r>
              <w:rPr>
                <w:rFonts w:hint="eastAsia" w:ascii="宋体" w:hAnsi="宋体" w:cs="宋体"/>
                <w:sz w:val="24"/>
                <w:szCs w:val="24"/>
                <w:lang w:eastAsia="zh-CN"/>
              </w:rPr>
              <w:t xml:space="preserve">-20</w:t>
            </w:r>
            <w:r>
              <w:rPr>
                <w:rFonts w:hint="eastAsia" w:ascii="宋体" w:hAnsi="宋体" w:cs="宋体"/>
                <w:sz w:val="24"/>
                <w:szCs w:val="24"/>
                <w:lang w:val="en-US" w:eastAsia="zh-CN"/>
              </w:rPr>
              <w:t xml:space="preserve">19</w:t>
            </w:r>
            <w:r>
              <w:rPr>
                <w:rFonts w:hint="eastAsia" w:ascii="宋体" w:hAnsi="宋体" w:cs="宋体"/>
                <w:sz w:val="24"/>
                <w:szCs w:val="24"/>
                <w:lang w:eastAsia="zh-CN"/>
              </w:rPr>
              <w:t xml:space="preserve">、GB/T 3280-2015、GB/T 10125-2021</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firstLine="0"/>
              <w:jc w:val="center"/>
              <w:keepNext w:val="0"/>
              <w:spacing w:line="240" w:lineRule="auto"/>
              <w:widowControl w:val="off"/>
              <w:tabs>
                <w:tab w:val="left" w:pos="240" w:leader="none"/>
              </w:tabs>
              <w:rPr>
                <w:rFonts w:ascii="宋体" w:hAnsi="宋体" w:cs="宋体"/>
                <w:lang w:eastAsia="zh-CN"/>
              </w:rPr>
            </w:pPr>
            <w:r>
              <w:rPr>
                <w:rFonts w:ascii="宋体" w:hAnsi="宋体" w:cs="宋体"/>
                <w:lang w:eastAsia="zh-CN"/>
              </w:rPr>
            </w:r>
            <w:r/>
          </w:p>
        </w:tc>
        <w:tc>
          <w:tcPr>
            <w:tcBorders>
              <w:top w:val="single" w:color="auto" w:sz="4" w:space="0"/>
              <w:left w:val="single" w:color="000000" w:sz="4" w:space="0"/>
              <w:bottom w:val="single" w:color="000000" w:sz="4" w:space="0"/>
              <w:right w:val="single" w:color="000000" w:sz="4" w:space="0"/>
            </w:tcBorders>
            <w:tcW w:w="3295" w:type="dxa"/>
            <w:vAlign w:val="center"/>
            <w:textDirection w:val="lrTb"/>
            <w:noWrap w:val="false"/>
          </w:tcPr>
          <w:p>
            <w:pPr>
              <w:ind w:firstLine="0"/>
              <w:keepNext w:val="0"/>
              <w:spacing w:line="240" w:lineRule="auto"/>
              <w:widowControl w:val="off"/>
              <w:rPr>
                <w:rFonts w:hint="default" w:ascii="宋体" w:hAnsi="宋体" w:cs="宋体"/>
                <w:lang w:val="en-US" w:eastAsia="zh-CN"/>
              </w:rPr>
            </w:pPr>
            <w:r>
              <w:rPr>
                <w:rFonts w:hint="eastAsia" w:ascii="宋体" w:hAnsi="宋体" w:cs="宋体"/>
                <w:sz w:val="21"/>
                <w:szCs w:val="21"/>
                <w:lang w:eastAsia="zh-CN"/>
              </w:rPr>
              <w:t xml:space="preserve">检测项目包含：抗拉强度≥515</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规定塑性延伸强度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20</w:t>
            </w:r>
            <w:r>
              <w:rPr>
                <w:rFonts w:hint="eastAsia" w:ascii="宋体" w:hAnsi="宋体" w:cs="宋体"/>
                <w:sz w:val="21"/>
                <w:szCs w:val="21"/>
                <w:lang w:eastAsia="zh-CN"/>
              </w:rPr>
              <w:t xml:space="preserve">5</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断后伸长率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40%；维氏硬度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210；</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360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外观评级：8</w:t>
            </w:r>
            <w:r>
              <w:rPr>
                <w:rFonts w:hint="eastAsia" w:ascii="宋体" w:hAnsi="宋体" w:cs="宋体"/>
                <w:sz w:val="21"/>
                <w:szCs w:val="21"/>
                <w:lang w:eastAsia="zh-CN"/>
              </w:rPr>
              <w:t xml:space="preserve">级，</w:t>
            </w:r>
            <w:r>
              <w:rPr>
                <w:rFonts w:hint="eastAsia" w:ascii="宋体" w:hAnsi="宋体" w:cs="宋体"/>
                <w:sz w:val="21"/>
                <w:szCs w:val="21"/>
                <w:lang w:val="en-US" w:eastAsia="zh-CN"/>
              </w:rPr>
              <w:t xml:space="preserve">保护评级：8级</w:t>
            </w:r>
            <w:r>
              <w:rPr>
                <w:rFonts w:hint="eastAsia" w:ascii="宋体" w:hAnsi="宋体" w:cs="宋体"/>
                <w:sz w:val="21"/>
                <w:szCs w:val="21"/>
                <w:lang w:eastAsia="zh-CN"/>
              </w:rPr>
              <w:t xml:space="preserve">；</w:t>
            </w:r>
            <w:r/>
          </w:p>
        </w:tc>
        <w:tc>
          <w:tcPr>
            <w:tcBorders>
              <w:top w:val="single" w:color="auto" w:sz="4" w:space="0"/>
              <w:left w:val="single" w:color="000000" w:sz="4" w:space="0"/>
              <w:bottom w:val="single" w:color="000000" w:sz="4" w:space="0"/>
              <w:right w:val="single" w:color="000000" w:sz="4" w:space="0"/>
            </w:tcBorders>
            <w:tcW w:w="3624" w:type="dxa"/>
            <w:vAlign w:val="center"/>
            <w:textDirection w:val="lrTb"/>
            <w:noWrap w:val="false"/>
          </w:tcPr>
          <w:p>
            <w:pPr>
              <w:pStyle w:val="919"/>
              <w:ind w:firstLine="0"/>
              <w:jc w:val="left"/>
              <w:keepNext w:val="0"/>
              <w:spacing w:line="240" w:lineRule="auto"/>
              <w:rPr>
                <w:rFonts w:hint="eastAsia" w:ascii="宋体" w:hAnsi="宋体" w:cs="宋体"/>
                <w:sz w:val="21"/>
                <w:szCs w:val="21"/>
                <w:lang w:eastAsia="zh-CN"/>
              </w:rPr>
            </w:pPr>
            <w:r>
              <w:rPr>
                <w:rFonts w:hint="eastAsia" w:ascii="宋体" w:hAnsi="宋体" w:cs="宋体"/>
                <w:sz w:val="21"/>
                <w:szCs w:val="21"/>
                <w:lang w:eastAsia="zh-CN"/>
              </w:rPr>
              <w:t xml:space="preserve">检测项目包含：抗拉强度≥</w:t>
            </w:r>
            <w:r>
              <w:rPr>
                <w:rFonts w:hint="eastAsia" w:ascii="宋体" w:hAnsi="宋体" w:cs="宋体"/>
                <w:sz w:val="21"/>
                <w:szCs w:val="21"/>
                <w:lang w:val="en-US" w:eastAsia="zh-CN"/>
              </w:rPr>
              <w:t xml:space="preserve">550</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规定塑性延伸强度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23</w:t>
            </w:r>
            <w:r>
              <w:rPr>
                <w:rFonts w:hint="eastAsia" w:ascii="宋体" w:hAnsi="宋体" w:cs="宋体"/>
                <w:sz w:val="21"/>
                <w:szCs w:val="21"/>
                <w:lang w:eastAsia="zh-CN"/>
              </w:rPr>
              <w:t xml:space="preserve">5</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断后伸长率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42%；维氏硬度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200；</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360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外观评级：9</w:t>
            </w:r>
            <w:r>
              <w:rPr>
                <w:rFonts w:hint="eastAsia" w:ascii="宋体" w:hAnsi="宋体" w:cs="宋体"/>
                <w:sz w:val="21"/>
                <w:szCs w:val="21"/>
                <w:lang w:eastAsia="zh-CN"/>
              </w:rPr>
              <w:t xml:space="preserve">级，</w:t>
            </w:r>
            <w:r>
              <w:rPr>
                <w:rFonts w:hint="eastAsia" w:ascii="宋体" w:hAnsi="宋体" w:cs="宋体"/>
                <w:sz w:val="21"/>
                <w:szCs w:val="21"/>
                <w:lang w:val="en-US" w:eastAsia="zh-CN"/>
              </w:rPr>
              <w:t xml:space="preserve">保护评级：9级</w:t>
            </w:r>
            <w:r>
              <w:rPr>
                <w:rFonts w:hint="eastAsia" w:ascii="宋体" w:hAnsi="宋体" w:cs="宋体"/>
                <w:sz w:val="21"/>
                <w:szCs w:val="21"/>
                <w:lang w:eastAsia="zh-CN"/>
              </w:rPr>
              <w:t xml:space="preserve">；</w:t>
            </w:r>
            <w:r/>
          </w:p>
          <w:p>
            <w:pPr>
              <w:pStyle w:val="919"/>
              <w:ind w:firstLine="0"/>
              <w:jc w:val="left"/>
              <w:keepNext w:val="0"/>
              <w:spacing w:line="240" w:lineRule="auto"/>
              <w:rPr>
                <w:rFonts w:ascii="宋体" w:hAnsi="宋体" w:cs="宋体"/>
                <w:sz w:val="24"/>
              </w:rPr>
            </w:pPr>
            <w:r>
              <w:rPr>
                <w:rFonts w:hint="eastAsia" w:ascii="宋体" w:hAnsi="宋体" w:cs="宋体"/>
                <w:b/>
                <w:sz w:val="21"/>
                <w:szCs w:val="21"/>
              </w:rPr>
              <w:t xml:space="preserve">满足以上要求的得0.5分。</w:t>
            </w:r>
            <w:r/>
          </w:p>
        </w:tc>
        <w:tc>
          <w:tcPr>
            <w:tcBorders>
              <w:top w:val="single" w:color="auto" w:sz="4" w:space="0"/>
              <w:left w:val="single" w:color="000000" w:sz="4" w:space="0"/>
              <w:bottom w:val="single" w:color="000000" w:sz="4" w:space="0"/>
              <w:right w:val="single" w:color="000000" w:sz="4" w:space="0"/>
            </w:tcBorders>
            <w:tcW w:w="2910" w:type="dxa"/>
            <w:vAlign w:val="center"/>
            <w:textDirection w:val="lrTb"/>
            <w:noWrap w:val="false"/>
          </w:tcPr>
          <w:p>
            <w:pPr>
              <w:pStyle w:val="919"/>
              <w:ind w:firstLine="0"/>
              <w:jc w:val="left"/>
              <w:keepNext w:val="0"/>
              <w:spacing w:line="240" w:lineRule="auto"/>
              <w:rPr>
                <w:rFonts w:hint="eastAsia" w:ascii="宋体" w:hAnsi="宋体" w:cs="宋体"/>
                <w:sz w:val="21"/>
                <w:szCs w:val="21"/>
                <w:lang w:eastAsia="zh-CN"/>
              </w:rPr>
            </w:pPr>
            <w:r>
              <w:rPr>
                <w:rFonts w:hint="eastAsia" w:ascii="宋体" w:hAnsi="宋体" w:cs="宋体"/>
                <w:sz w:val="21"/>
                <w:szCs w:val="21"/>
                <w:lang w:eastAsia="zh-CN"/>
              </w:rPr>
              <w:t xml:space="preserve">检测项目包含：抗拉强度≥</w:t>
            </w:r>
            <w:r>
              <w:rPr>
                <w:rFonts w:hint="eastAsia" w:ascii="宋体" w:hAnsi="宋体" w:cs="宋体"/>
                <w:sz w:val="21"/>
                <w:szCs w:val="21"/>
                <w:lang w:val="en-US" w:eastAsia="zh-CN"/>
              </w:rPr>
              <w:t xml:space="preserve">70</w:t>
            </w:r>
            <w:r>
              <w:rPr>
                <w:rFonts w:hint="eastAsia" w:ascii="宋体" w:hAnsi="宋体" w:cs="宋体"/>
                <w:sz w:val="21"/>
                <w:szCs w:val="21"/>
                <w:lang w:eastAsia="zh-CN"/>
              </w:rPr>
              <w:t xml:space="preserve">5</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规定塑性延伸强度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30</w:t>
            </w:r>
            <w:r>
              <w:rPr>
                <w:rFonts w:hint="eastAsia" w:ascii="宋体" w:hAnsi="宋体" w:cs="宋体"/>
                <w:sz w:val="21"/>
                <w:szCs w:val="21"/>
                <w:lang w:eastAsia="zh-CN"/>
              </w:rPr>
              <w:t xml:space="preserve">5</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断后伸长率</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50%；维氏硬度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170；</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360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外观评级：10</w:t>
            </w:r>
            <w:r>
              <w:rPr>
                <w:rFonts w:hint="eastAsia" w:ascii="宋体" w:hAnsi="宋体" w:cs="宋体"/>
                <w:sz w:val="21"/>
                <w:szCs w:val="21"/>
                <w:lang w:eastAsia="zh-CN"/>
              </w:rPr>
              <w:t xml:space="preserve">级，</w:t>
            </w:r>
            <w:r>
              <w:rPr>
                <w:rFonts w:hint="eastAsia" w:ascii="宋体" w:hAnsi="宋体" w:cs="宋体"/>
                <w:sz w:val="21"/>
                <w:szCs w:val="21"/>
                <w:lang w:val="en-US" w:eastAsia="zh-CN"/>
              </w:rPr>
              <w:t xml:space="preserve">保护评级：10级</w:t>
            </w:r>
            <w:r>
              <w:rPr>
                <w:rFonts w:hint="eastAsia" w:ascii="宋体" w:hAnsi="宋体" w:cs="宋体"/>
                <w:sz w:val="21"/>
                <w:szCs w:val="21"/>
                <w:lang w:eastAsia="zh-CN"/>
              </w:rPr>
              <w:t xml:space="preserve">；</w:t>
            </w:r>
            <w:r/>
          </w:p>
          <w:p>
            <w:pPr>
              <w:pStyle w:val="919"/>
              <w:ind w:firstLine="0"/>
              <w:jc w:val="left"/>
              <w:keepNext w:val="0"/>
              <w:spacing w:line="240" w:lineRule="auto"/>
              <w:rPr>
                <w:rFonts w:ascii="宋体" w:hAnsi="宋体" w:cs="宋体"/>
                <w:sz w:val="24"/>
              </w:rPr>
            </w:pPr>
            <w:r>
              <w:rPr>
                <w:rFonts w:hint="eastAsia" w:ascii="宋体" w:hAnsi="宋体" w:cs="宋体"/>
                <w:b/>
                <w:sz w:val="21"/>
                <w:szCs w:val="21"/>
              </w:rPr>
              <w:t xml:space="preserve">满足以上要求的得1分。</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ind w:firstLine="0"/>
              <w:jc w:val="center"/>
              <w:keepNext w:val="0"/>
              <w:spacing w:line="240" w:lineRule="auto"/>
              <w:widowControl w:val="off"/>
              <w:tabs>
                <w:tab w:val="left" w:pos="240" w:leader="none"/>
              </w:tabs>
              <w:rPr>
                <w:rFonts w:ascii="宋体" w:hAnsi="宋体" w:cs="宋体"/>
              </w:rPr>
            </w:pPr>
            <w:r>
              <w:rPr>
                <w:rFonts w:hint="eastAsia" w:ascii="宋体" w:hAnsi="宋体" w:cs="宋体"/>
              </w:rPr>
              <w:t xml:space="preserve">4</w:t>
            </w:r>
            <w:r/>
          </w:p>
        </w:tc>
        <w:tc>
          <w:tcPr>
            <w:gridSpan w:val="3"/>
            <w:tcBorders>
              <w:top w:val="single" w:color="000000" w:sz="4" w:space="0"/>
              <w:left w:val="single" w:color="000000" w:sz="4" w:space="0"/>
              <w:bottom w:val="single" w:color="000000" w:sz="4" w:space="0"/>
              <w:right w:val="single" w:color="000000" w:sz="4" w:space="0"/>
            </w:tcBorders>
            <w:tcW w:w="9829" w:type="dxa"/>
            <w:vAlign w:val="center"/>
            <w:textDirection w:val="lrTb"/>
            <w:noWrap w:val="false"/>
          </w:tcPr>
          <w:p>
            <w:pPr>
              <w:pStyle w:val="919"/>
              <w:ind w:firstLine="0"/>
              <w:jc w:val="left"/>
              <w:keepNext w:val="0"/>
              <w:spacing w:line="240" w:lineRule="auto"/>
              <w:rPr>
                <w:rFonts w:ascii="宋体" w:hAnsi="宋体" w:cs="宋体"/>
                <w:lang w:eastAsia="zh-CN"/>
              </w:rPr>
            </w:pPr>
            <w:r>
              <w:rPr>
                <w:rFonts w:hint="eastAsia" w:ascii="宋体" w:hAnsi="宋体" w:cs="宋体"/>
                <w:sz w:val="24"/>
                <w:szCs w:val="24"/>
              </w:rPr>
              <w:t xml:space="preserve">实芯理化板（抽检）采用的检测标准：</w:t>
            </w:r>
            <w:r>
              <w:rPr>
                <w:rFonts w:hint="eastAsia" w:ascii="宋体" w:hAnsi="宋体" w:cs="宋体"/>
                <w:sz w:val="24"/>
                <w:szCs w:val="24"/>
                <w:lang w:val="en-US" w:eastAsia="zh-CN"/>
              </w:rPr>
              <w:t xml:space="preserve">QB/T 4456-2013</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ind w:firstLine="0"/>
              <w:jc w:val="center"/>
              <w:keepNext w:val="0"/>
              <w:spacing w:line="240" w:lineRule="auto"/>
              <w:widowControl w:val="off"/>
              <w:tabs>
                <w:tab w:val="left" w:pos="240" w:leader="none"/>
              </w:tabs>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ind w:firstLine="0"/>
              <w:keepNext w:val="0"/>
              <w:spacing w:line="240" w:lineRule="auto"/>
              <w:widowControl w:val="off"/>
              <w:rPr>
                <w:rFonts w:ascii="宋体" w:hAnsi="宋体" w:cs="宋体"/>
                <w:lang w:eastAsia="zh-CN"/>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表面耐磨性：磨耗值</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80mg/100r；静曲强度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100</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弹性模量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10000</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耐沸水：表面质量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3级，厚度增加</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2%；甲醛释放量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0.12m</w:t>
            </w:r>
            <w:r>
              <w:rPr>
                <w:rFonts w:hint="eastAsia" w:ascii="宋体" w:hAnsi="宋体" w:cs="宋体"/>
                <w:sz w:val="21"/>
                <w:szCs w:val="21"/>
                <w:lang w:eastAsia="zh-CN"/>
              </w:rPr>
              <w:t xml:space="preserve">g/m³；</w:t>
            </w:r>
            <w:r>
              <w:rPr>
                <w:rFonts w:hint="eastAsia" w:ascii="宋体" w:hAnsi="宋体" w:cs="宋体"/>
                <w:sz w:val="21"/>
                <w:szCs w:val="21"/>
                <w:lang w:val="en-US" w:eastAsia="zh-CN"/>
              </w:rPr>
              <w:t xml:space="preserve">阻燃性：氧气指数</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pStyle w:val="919"/>
              <w:ind w:firstLine="0"/>
              <w:jc w:val="left"/>
              <w:keepNext w:val="0"/>
              <w:spacing w:line="240" w:lineRule="auto"/>
              <w:rPr>
                <w:rFonts w:hint="eastAsia" w:ascii="宋体" w:hAnsi="宋体" w:cs="宋体"/>
                <w:sz w:val="21"/>
                <w:szCs w:val="21"/>
                <w:lang w:val="en-US" w:eastAsia="zh-CN"/>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表面耐磨性：磨耗值</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70mg/100r；静曲强度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105</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弹性模量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11000</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耐沸水：表面质量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2级，厚度增加</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1.8%；</w:t>
            </w:r>
            <w:r>
              <w:rPr>
                <w:rFonts w:hint="eastAsia" w:ascii="宋体" w:hAnsi="宋体"/>
                <w:sz w:val="21"/>
                <w:szCs w:val="21"/>
                <w:lang w:eastAsia="zh-CN"/>
              </w:rPr>
              <w:t xml:space="preserve"> </w:t>
            </w:r>
            <w:r>
              <w:rPr>
                <w:rFonts w:hint="eastAsia" w:ascii="宋体" w:hAnsi="宋体" w:cs="宋体"/>
                <w:sz w:val="21"/>
                <w:szCs w:val="21"/>
                <w:lang w:val="en-US" w:eastAsia="zh-CN"/>
              </w:rPr>
              <w:t xml:space="preserve">甲醛释放量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0.1m</w:t>
            </w:r>
            <w:r>
              <w:rPr>
                <w:rFonts w:hint="eastAsia" w:ascii="宋体" w:hAnsi="宋体" w:cs="宋体"/>
                <w:sz w:val="21"/>
                <w:szCs w:val="21"/>
                <w:lang w:eastAsia="zh-CN"/>
              </w:rPr>
              <w:t xml:space="preserve">g/m³；</w:t>
            </w:r>
            <w:r>
              <w:rPr>
                <w:rFonts w:hint="eastAsia" w:ascii="宋体" w:hAnsi="宋体" w:cs="宋体"/>
                <w:sz w:val="21"/>
                <w:szCs w:val="21"/>
                <w:lang w:val="en-US" w:eastAsia="zh-CN"/>
              </w:rPr>
              <w:t xml:space="preserve">阻燃性：氧气指数</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35.1；</w:t>
            </w:r>
            <w:r/>
          </w:p>
          <w:p>
            <w:pPr>
              <w:pStyle w:val="919"/>
              <w:ind w:firstLine="0"/>
              <w:jc w:val="left"/>
              <w:keepNext w:val="0"/>
              <w:spacing w:line="240" w:lineRule="auto"/>
              <w:rPr>
                <w:rFonts w:ascii="宋体" w:hAnsi="宋体" w:cs="宋体"/>
                <w:sz w:val="24"/>
              </w:rPr>
            </w:pPr>
            <w:r>
              <w:rPr>
                <w:rFonts w:hint="eastAsia" w:ascii="宋体" w:hAnsi="宋体" w:cs="宋体"/>
                <w:b/>
                <w:sz w:val="21"/>
                <w:szCs w:val="21"/>
              </w:rPr>
              <w:t xml:space="preserve">满足以上要求的得0.5分。</w:t>
            </w:r>
            <w:r/>
          </w:p>
        </w:tc>
        <w:tc>
          <w:tcPr>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pStyle w:val="919"/>
              <w:ind w:firstLine="0"/>
              <w:jc w:val="left"/>
              <w:keepNext w:val="0"/>
              <w:spacing w:line="240" w:lineRule="auto"/>
              <w:rPr>
                <w:rFonts w:ascii="宋体" w:hAnsi="宋体" w:cs="宋体"/>
                <w:sz w:val="24"/>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表面耐磨性：磨耗值</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50mg/100r；静曲强度</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120</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弹性模量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13000</w:t>
            </w:r>
            <w:r>
              <w:rPr>
                <w:rFonts w:hint="eastAsia" w:ascii="宋体" w:hAnsi="宋体"/>
                <w:sz w:val="21"/>
                <w:szCs w:val="21"/>
                <w:lang w:eastAsia="zh-CN"/>
              </w:rPr>
              <w:t xml:space="preserve"> MPa</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耐沸水：表面质量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1级，厚度增加</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0.4%；</w:t>
            </w:r>
            <w:r>
              <w:rPr>
                <w:rFonts w:hint="eastAsia" w:ascii="宋体" w:hAnsi="宋体"/>
                <w:sz w:val="21"/>
                <w:szCs w:val="21"/>
                <w:lang w:eastAsia="zh-CN"/>
              </w:rPr>
              <w:t xml:space="preserve"> </w:t>
            </w:r>
            <w:r>
              <w:rPr>
                <w:rFonts w:hint="eastAsia" w:ascii="宋体" w:hAnsi="宋体" w:cs="宋体"/>
                <w:sz w:val="21"/>
                <w:szCs w:val="21"/>
                <w:lang w:val="en-US" w:eastAsia="zh-CN"/>
              </w:rPr>
              <w:t xml:space="preserve">甲醛释放量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0.01m</w:t>
            </w:r>
            <w:r>
              <w:rPr>
                <w:rFonts w:hint="eastAsia" w:ascii="宋体" w:hAnsi="宋体" w:cs="宋体"/>
                <w:sz w:val="21"/>
                <w:szCs w:val="21"/>
                <w:lang w:eastAsia="zh-CN"/>
              </w:rPr>
              <w:t xml:space="preserve">g/m³；</w:t>
            </w:r>
            <w:r>
              <w:rPr>
                <w:rFonts w:hint="eastAsia" w:ascii="宋体" w:hAnsi="宋体" w:cs="宋体"/>
                <w:sz w:val="21"/>
                <w:szCs w:val="21"/>
                <w:lang w:val="en-US" w:eastAsia="zh-CN"/>
              </w:rPr>
              <w:t xml:space="preserve">阻燃性：氧气指数</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35.3；                         </w:t>
            </w:r>
            <w:r>
              <w:rPr>
                <w:rFonts w:hint="eastAsia" w:ascii="宋体" w:hAnsi="宋体" w:cs="宋体"/>
                <w:b/>
                <w:sz w:val="21"/>
                <w:szCs w:val="21"/>
              </w:rPr>
              <w:t xml:space="preserve">满足以上要求的得1分。</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restart"/>
            <w:textDirection w:val="lrTb"/>
            <w:noWrap w:val="false"/>
          </w:tcPr>
          <w:p>
            <w:pPr>
              <w:pStyle w:val="858"/>
              <w:ind w:firstLine="0"/>
              <w:jc w:val="center"/>
              <w:keepLines w:val="0"/>
              <w:keepNext w:val="0"/>
              <w:spacing w:line="240" w:lineRule="auto"/>
              <w:widowControl w:val="off"/>
              <w:tabs>
                <w:tab w:val="left" w:pos="240" w:leader="none"/>
              </w:tabs>
              <w:rPr>
                <w:rFonts w:ascii="宋体" w:hAnsi="宋体" w:cs="宋体"/>
                <w:sz w:val="24"/>
                <w:szCs w:val="24"/>
              </w:rPr>
            </w:pPr>
            <w:r>
              <w:rPr>
                <w:rFonts w:hint="eastAsia" w:ascii="宋体" w:hAnsi="宋体" w:cs="宋体"/>
                <w:b w:val="0"/>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9829" w:type="dxa"/>
            <w:vAlign w:val="center"/>
            <w:textDirection w:val="lrTb"/>
            <w:noWrap w:val="false"/>
          </w:tcPr>
          <w:p>
            <w:pPr>
              <w:pStyle w:val="919"/>
              <w:ind w:firstLine="0"/>
              <w:jc w:val="left"/>
              <w:keepNext w:val="0"/>
              <w:spacing w:line="240" w:lineRule="auto"/>
              <w:rPr>
                <w:rFonts w:hint="default" w:ascii="宋体" w:hAnsi="宋体" w:cs="宋体"/>
                <w:b/>
                <w:sz w:val="24"/>
                <w:lang w:val="en-US"/>
              </w:rPr>
            </w:pPr>
            <w:r>
              <w:rPr>
                <w:rFonts w:hint="eastAsia" w:ascii="宋体" w:hAnsi="宋体" w:cs="宋体"/>
                <w:sz w:val="24"/>
                <w:szCs w:val="24"/>
                <w:lang w:val="en-US" w:eastAsia="zh-CN"/>
              </w:rPr>
              <w:t xml:space="preserve">铰链</w:t>
            </w:r>
            <w:r>
              <w:rPr>
                <w:rFonts w:hint="eastAsia" w:ascii="宋体" w:hAnsi="宋体" w:cs="宋体"/>
                <w:sz w:val="24"/>
                <w:szCs w:val="24"/>
              </w:rPr>
              <w:t xml:space="preserve">（抽检）采用的检测标准：</w:t>
            </w:r>
            <w:r>
              <w:rPr>
                <w:rFonts w:hint="eastAsia" w:ascii="宋体" w:hAnsi="宋体" w:cs="宋体"/>
                <w:sz w:val="24"/>
                <w:szCs w:val="24"/>
                <w:lang w:val="en-US" w:eastAsia="zh-CN"/>
              </w:rPr>
              <w:t xml:space="preserve">QB/T 2189-2013</w:t>
            </w:r>
            <w:r>
              <w:rPr>
                <w:rFonts w:hint="eastAsia" w:ascii="宋体" w:hAnsi="宋体" w:cs="宋体"/>
                <w:sz w:val="24"/>
                <w:szCs w:val="24"/>
                <w:lang w:eastAsia="zh-CN"/>
              </w:rPr>
              <w:t xml:space="preserve">、GB/T 10125-2021</w:t>
            </w:r>
            <w:r/>
          </w:p>
        </w:tc>
      </w:tr>
      <w:tr>
        <w:trPr>
          <w:jc w:val="center"/>
        </w:trPr>
        <w:tc>
          <w:tcPr>
            <w:tcBorders>
              <w:top w:val="single" w:color="000000" w:sz="4" w:space="0"/>
              <w:left w:val="single" w:color="000000" w:sz="4" w:space="0"/>
              <w:bottom w:val="single" w:color="000000" w:sz="4" w:space="0"/>
              <w:right w:val="single" w:color="000000" w:sz="4" w:space="0"/>
            </w:tcBorders>
            <w:tcW w:w="722" w:type="dxa"/>
            <w:vAlign w:val="center"/>
            <w:vMerge w:val="continue"/>
            <w:textDirection w:val="lrTb"/>
            <w:noWrap w:val="false"/>
          </w:tcPr>
          <w:p>
            <w:pPr>
              <w:pStyle w:val="858"/>
              <w:ind w:firstLine="0"/>
              <w:jc w:val="center"/>
              <w:keepLines w:val="0"/>
              <w:keepNext w:val="0"/>
              <w:spacing w:line="240" w:lineRule="auto"/>
              <w:widowControl w:val="off"/>
              <w:tabs>
                <w:tab w:val="left" w:pos="240" w:leader="none"/>
              </w:tabs>
              <w:rPr>
                <w:rFonts w:ascii="宋体" w:hAnsi="宋体" w:cs="宋体"/>
                <w:sz w:val="24"/>
                <w:szCs w:val="24"/>
                <w:lang w:eastAsia="zh-CN"/>
              </w:rPr>
            </w:pPr>
            <w:r>
              <w:rPr>
                <w:rFonts w:ascii="宋体" w:hAnsi="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val="false"/>
          </w:tcPr>
          <w:p>
            <w:pPr>
              <w:ind w:firstLine="0"/>
              <w:keepNext w:val="0"/>
              <w:spacing w:line="240" w:lineRule="auto"/>
              <w:widowControl w:val="off"/>
              <w:rPr>
                <w:rFonts w:hint="default" w:ascii="宋体" w:hAnsi="宋体" w:cs="宋体"/>
                <w:lang w:val="en-US" w:eastAsia="zh-CN"/>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耐久试验前打开力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20N；耐久试验前关闭力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20N；耐久试验后打开力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20N；耐久试验后关闭力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20N；下沉量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2mm；</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360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外观评级：8</w:t>
            </w:r>
            <w:r>
              <w:rPr>
                <w:rFonts w:hint="eastAsia" w:ascii="宋体" w:hAnsi="宋体" w:cs="宋体"/>
                <w:sz w:val="21"/>
                <w:szCs w:val="21"/>
                <w:lang w:eastAsia="zh-CN"/>
              </w:rPr>
              <w:t xml:space="preserve">级，</w:t>
            </w:r>
            <w:r>
              <w:rPr>
                <w:rFonts w:hint="eastAsia" w:ascii="宋体" w:hAnsi="宋体" w:cs="宋体"/>
                <w:sz w:val="21"/>
                <w:szCs w:val="21"/>
                <w:lang w:val="en-US" w:eastAsia="zh-CN"/>
              </w:rPr>
              <w:t xml:space="preserve">保护评级：8级</w:t>
            </w:r>
            <w:r>
              <w:rPr>
                <w:rFonts w:hint="eastAsia" w:ascii="宋体" w:hAnsi="宋体" w:cs="宋体"/>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pStyle w:val="919"/>
              <w:ind w:firstLine="0"/>
              <w:jc w:val="left"/>
              <w:keepNext w:val="0"/>
              <w:spacing w:line="240" w:lineRule="auto"/>
              <w:rPr>
                <w:rFonts w:ascii="宋体" w:hAnsi="宋体" w:cs="宋体"/>
                <w:b/>
                <w:sz w:val="24"/>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耐久试验前打开力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15N；耐久试验前关闭力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15N；耐久试验后打开力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15N；耐久试验后关闭力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15N；下层量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1.6mm；</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360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外观评级：9</w:t>
            </w:r>
            <w:r>
              <w:rPr>
                <w:rFonts w:hint="eastAsia" w:ascii="宋体" w:hAnsi="宋体" w:cs="宋体"/>
                <w:sz w:val="21"/>
                <w:szCs w:val="21"/>
                <w:lang w:eastAsia="zh-CN"/>
              </w:rPr>
              <w:t xml:space="preserve">级，</w:t>
            </w:r>
            <w:r>
              <w:rPr>
                <w:rFonts w:hint="eastAsia" w:ascii="宋体" w:hAnsi="宋体" w:cs="宋体"/>
                <w:sz w:val="21"/>
                <w:szCs w:val="21"/>
                <w:lang w:val="en-US" w:eastAsia="zh-CN"/>
              </w:rPr>
              <w:t xml:space="preserve">保护评级：9级</w:t>
            </w:r>
            <w:r>
              <w:rPr>
                <w:rFonts w:hint="eastAsia" w:ascii="宋体" w:hAnsi="宋体" w:cs="宋体"/>
                <w:sz w:val="21"/>
                <w:szCs w:val="21"/>
                <w:lang w:eastAsia="zh-CN"/>
              </w:rPr>
              <w:t xml:space="preserve">；</w:t>
            </w:r>
            <w:r>
              <w:rPr>
                <w:rFonts w:hint="eastAsia" w:ascii="宋体" w:hAnsi="宋体" w:cs="宋体"/>
                <w:b/>
                <w:sz w:val="21"/>
                <w:szCs w:val="21"/>
              </w:rPr>
              <w:t xml:space="preserve">满足以上要求的得0.5分。</w:t>
            </w:r>
            <w:r/>
          </w:p>
        </w:tc>
        <w:tc>
          <w:tcPr>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pStyle w:val="919"/>
              <w:ind w:firstLine="0"/>
              <w:jc w:val="left"/>
              <w:keepNext w:val="0"/>
              <w:spacing w:line="240" w:lineRule="auto"/>
              <w:rPr>
                <w:rFonts w:ascii="宋体" w:hAnsi="宋体" w:cs="宋体"/>
                <w:b/>
                <w:sz w:val="24"/>
              </w:rPr>
            </w:pPr>
            <w:r>
              <w:rPr>
                <w:rFonts w:hint="eastAsia" w:ascii="宋体" w:hAnsi="宋体" w:cs="宋体"/>
                <w:sz w:val="21"/>
                <w:szCs w:val="21"/>
                <w:lang w:eastAsia="zh-CN"/>
              </w:rPr>
              <w:t xml:space="preserve">检测项目包含：</w:t>
            </w:r>
            <w:r>
              <w:rPr>
                <w:rFonts w:hint="eastAsia" w:ascii="宋体" w:hAnsi="宋体" w:cs="宋体"/>
                <w:sz w:val="21"/>
                <w:szCs w:val="21"/>
                <w:lang w:val="en-US" w:eastAsia="zh-CN"/>
              </w:rPr>
              <w:t xml:space="preserve">耐久试验前打开力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5N；耐久试验前关闭力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5N；耐久试验后打开力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5N；耐久试验后关闭力</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5N；下层量</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0.2mm；</w:t>
            </w:r>
            <w:r>
              <w:rPr>
                <w:rFonts w:hint="eastAsia" w:ascii="宋体" w:hAnsi="宋体" w:cs="宋体"/>
                <w:sz w:val="21"/>
                <w:szCs w:val="21"/>
                <w:lang w:eastAsia="zh-CN"/>
              </w:rPr>
              <w:t xml:space="preserve">乙酸盐雾试验</w:t>
            </w:r>
            <w:r>
              <w:rPr>
                <w:rFonts w:hint="eastAsia" w:ascii="宋体" w:hAnsi="宋体" w:cs="宋体"/>
                <w:sz w:val="21"/>
                <w:szCs w:val="21"/>
                <w:lang w:val="en-US" w:eastAsia="zh-CN"/>
              </w:rPr>
              <w:t xml:space="preserve">360</w:t>
            </w:r>
            <w:r>
              <w:rPr>
                <w:rFonts w:hint="eastAsia" w:ascii="宋体" w:hAnsi="宋体" w:cs="宋体"/>
                <w:sz w:val="21"/>
                <w:szCs w:val="21"/>
                <w:lang w:eastAsia="zh-CN"/>
              </w:rPr>
              <w:t xml:space="preserve">h，</w:t>
            </w:r>
            <w:r>
              <w:rPr>
                <w:rFonts w:hint="eastAsia" w:ascii="宋体" w:hAnsi="宋体" w:cs="宋体"/>
                <w:sz w:val="21"/>
                <w:szCs w:val="21"/>
                <w:lang w:val="en-US" w:eastAsia="zh-CN"/>
              </w:rPr>
              <w:t xml:space="preserve">外观评级：10</w:t>
            </w:r>
            <w:r>
              <w:rPr>
                <w:rFonts w:hint="eastAsia" w:ascii="宋体" w:hAnsi="宋体" w:cs="宋体"/>
                <w:sz w:val="21"/>
                <w:szCs w:val="21"/>
                <w:lang w:eastAsia="zh-CN"/>
              </w:rPr>
              <w:t xml:space="preserve">级，</w:t>
            </w:r>
            <w:r>
              <w:rPr>
                <w:rFonts w:hint="eastAsia" w:ascii="宋体" w:hAnsi="宋体" w:cs="宋体"/>
                <w:sz w:val="21"/>
                <w:szCs w:val="21"/>
                <w:lang w:val="en-US" w:eastAsia="zh-CN"/>
              </w:rPr>
              <w:t xml:space="preserve">保护评级：10级</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                         </w:t>
            </w:r>
            <w:r>
              <w:rPr>
                <w:rFonts w:hint="eastAsia" w:ascii="宋体" w:hAnsi="宋体" w:cs="宋体"/>
                <w:b/>
                <w:sz w:val="21"/>
                <w:szCs w:val="21"/>
              </w:rPr>
              <w:t xml:space="preserve">满足以上要求的得1分。</w:t>
            </w:r>
            <w:r/>
          </w:p>
        </w:tc>
      </w:tr>
    </w:tbl>
    <w:p>
      <w:pPr>
        <w:ind w:firstLine="480"/>
        <w:spacing w:line="440" w:lineRule="exact"/>
        <w:widowControl w:val="off"/>
        <w:rPr>
          <w:rFonts w:hint="eastAsia" w:ascii="宋体" w:hAnsi="宋体" w:cs="宋体"/>
          <w:b w:val="0"/>
          <w:bCs/>
          <w:color w:val="auto"/>
          <w:sz w:val="24"/>
          <w:szCs w:val="21"/>
          <w:highlight w:val="none"/>
          <w:lang w:eastAsia="zh-CN"/>
        </w:rPr>
      </w:pPr>
      <w:r>
        <w:rPr>
          <w:rFonts w:hint="eastAsia" w:ascii="宋体" w:hAnsi="宋体" w:cs="宋体"/>
          <w:b/>
          <w:bCs w:val="0"/>
          <w:color w:val="auto"/>
          <w:sz w:val="24"/>
          <w:szCs w:val="21"/>
          <w:highlight w:val="none"/>
          <w:lang w:val="en-US" w:eastAsia="zh-CN"/>
        </w:rPr>
        <w:t xml:space="preserve">注：</w:t>
      </w:r>
      <w:r>
        <w:rPr>
          <w:rFonts w:hint="eastAsia" w:ascii="宋体" w:hAnsi="宋体" w:cs="宋体"/>
          <w:b/>
          <w:bCs w:val="0"/>
          <w:color w:val="auto"/>
          <w:sz w:val="24"/>
          <w:szCs w:val="21"/>
          <w:highlight w:val="none"/>
          <w:lang w:eastAsia="zh-CN"/>
        </w:rPr>
        <w:t xml:space="preserve">投标文件中的检测报告材料必须清晰且完整含封底及封面，仅提供局部内容的检测报告视为无效，提供的检测报告上的检测项目名称与上述名称不同，但内容实际相同的视作等同。</w:t>
      </w:r>
      <w:r/>
    </w:p>
    <w:p>
      <w:pPr>
        <w:ind w:firstLine="0"/>
        <w:spacing w:line="440" w:lineRule="exact"/>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（三）技术方案（50分）</w:t>
      </w:r>
      <w:r/>
    </w:p>
    <w:p>
      <w:pPr>
        <w:ind w:firstLine="480"/>
        <w:spacing w:line="440" w:lineRule="exact"/>
        <w:widowControl w:val="off"/>
        <w:rPr>
          <w:rFonts w:ascii="宋体" w:hAnsi="宋体" w:cs="宋体"/>
          <w:color w:val="auto"/>
          <w:highlight w:val="none"/>
          <w:lang w:eastAsia="zh-CN"/>
        </w:rPr>
      </w:pPr>
      <w:r/>
      <w:bookmarkStart w:id="29" w:name="OLE_LINK30"/>
      <w:r>
        <w:rPr>
          <w:rFonts w:hint="eastAsia" w:ascii="宋体" w:hAnsi="宋体" w:cs="宋体"/>
          <w:color w:val="auto"/>
          <w:highlight w:val="none"/>
          <w:lang w:eastAsia="zh-CN"/>
        </w:rPr>
        <w:t xml:space="preserve">1.项目实施方案（15分）：①前期对接、交货方案：至少包括前期样品确认、项目实施进度方案；②产品生产质量控制措施；③生产工艺及质量标准；④供货组织及运输安排；⑤应急方案。</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3分；内容存在1处瑕疵的该条得2分；内容存在2处瑕疵的该条得1分，未提供方案或不满足项目需求书要求或内容存在3处及以上瑕疵的该条得0分。本项满分15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2.安装、调试（10分）：①进场准备及进度控制措施；②机械设备、材料投入计划及安装人员组织方案；③产品安装与调试及技术支撑方案；④安全文明安装及环境保护措施；⑤质量保证措施。</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2分；内容存在1处瑕疵的该条得1分；未提供方案或不满足项目需求书要求或内容存在2处及以上瑕疵的该条得0分。本项满分10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3.质量管理方案及保障措施（15分）：①产品质量保障方案及措施；②质量控制的方法、工具与重点；③本项目主要技术岗位人员框架与安排；④生产现场管理质量保障措施；⑤原材料采购及保障方案。</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3分；内容存在1处瑕疵的该条得2分；内容存在2处瑕疵的该条得1分；未提供方案或不满足项目需求书要求或内容存在3处及以上瑕疵的该条得0分。本项满分15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4.售后服务管理及措施（10分）：①售后服务承诺（包括产品质量保证承诺、故障解决能力等）；②应急服务响应时间；③售后服务人员保障及管理体系；④现场服务措施；⑤售后服务流程介绍。</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2分；内容存在1处瑕疵的该条得1分；未提供方案或不满足项目需求书要求或内容存在2处及以上瑕疵的该条得0分。本项满分10分。</w:t>
      </w:r>
      <w:r/>
    </w:p>
    <w:p>
      <w:pPr>
        <w:ind w:firstLine="482"/>
        <w:spacing w:line="440" w:lineRule="exact"/>
        <w:widowControl w:val="off"/>
        <w:rPr>
          <w:color w:val="auto"/>
          <w:highlight w:val="none"/>
          <w:lang w:eastAsia="zh-CN"/>
        </w:rPr>
      </w:pPr>
      <w:r>
        <w:rPr>
          <w:rFonts w:hint="eastAsia" w:ascii="宋体" w:hAnsi="宋体" w:cs="宋体"/>
          <w:b/>
          <w:bCs/>
          <w:color w:val="auto"/>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440" w:lineRule="exact"/>
        <w:widowControl w:val="off"/>
        <w:rPr>
          <w:rFonts w:ascii="宋体" w:hAnsi="宋体" w:cs="宋体"/>
          <w:b/>
          <w:bCs/>
          <w:color w:val="auto"/>
          <w:highlight w:val="none"/>
          <w:lang w:eastAsia="zh-CN"/>
        </w:rPr>
      </w:pPr>
      <w:r>
        <w:rPr>
          <w:rFonts w:hint="eastAsia" w:ascii="宋体" w:hAnsi="宋体"/>
          <w:b/>
          <w:color w:val="auto"/>
          <w:szCs w:val="24"/>
          <w:highlight w:val="none"/>
          <w:lang w:eastAsia="zh-CN"/>
        </w:rPr>
        <w:t xml:space="preserve">技术方案评委在5人及5人以上的，取所有成员的平均值。评分办法及评分细则的解释权属于采购人。未列入本评分细则的其他条件不作为评分内容。</w:t>
      </w:r>
      <w:bookmarkEnd w:id="29"/>
      <w:r/>
    </w:p>
    <w:p>
      <w:pPr>
        <w:ind w:firstLine="0"/>
        <w:spacing w:line="440" w:lineRule="exact"/>
        <w:widowControl w:val="off"/>
        <w:rPr>
          <w:rFonts w:ascii="宋体" w:hAnsi="宋体" w:cs="宋体"/>
          <w:b/>
          <w:bCs/>
          <w:color w:val="auto"/>
          <w:highlight w:val="none"/>
          <w:lang w:val="zh-CN" w:eastAsia="zh-CN"/>
        </w:rPr>
      </w:pPr>
      <w:r>
        <w:rPr>
          <w:rFonts w:hint="eastAsia" w:ascii="宋体" w:hAnsi="宋体" w:cs="宋体"/>
          <w:b/>
          <w:bCs/>
          <w:color w:val="auto"/>
          <w:highlight w:val="none"/>
          <w:lang w:eastAsia="zh-CN"/>
        </w:rPr>
        <w:t xml:space="preserve">（四）政策加分（2分）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1.投标供应商所投产品属于《环境标志产品政府采购品目清单》范围内的，提供由国家确定的认证机构（目前仅根据《市场监管总局关于发布参与实施政府采购节能产品、环境标志产品认证机构名录的公告》（2019年第16号）中确认的《参与实施政府采购环境标志产品认证机构名录》）出具的、处于有效期之内的环境标志产品认证证书，得1分。投标时提供认证证书扫描件。</w:t>
      </w:r>
      <w:r/>
    </w:p>
    <w:p>
      <w:pPr>
        <w:ind w:firstLine="480"/>
        <w:spacing w:line="440" w:lineRule="exact"/>
        <w:widowControl w:val="off"/>
        <w:rPr>
          <w:rFonts w:ascii="宋体" w:hAnsi="宋体" w:cs="宋体"/>
          <w:color w:val="auto"/>
          <w:highlight w:val="none"/>
          <w:lang w:val="zh-CN" w:eastAsia="zh-CN"/>
        </w:rPr>
      </w:pPr>
      <w:r>
        <w:rPr>
          <w:rFonts w:hint="eastAsia" w:ascii="宋体" w:hAnsi="宋体" w:cs="宋体"/>
          <w:color w:val="auto"/>
          <w:highlight w:val="none"/>
          <w:lang w:eastAsia="zh-CN"/>
        </w:rPr>
        <w:t xml:space="preserve">2.依据</w:t>
      </w:r>
      <w:bookmarkStart w:id="30" w:name="OLE_LINK8"/>
      <w:r/>
      <w:bookmarkStart w:id="31" w:name="OLE_LINK7"/>
      <w:r>
        <w:rPr>
          <w:rFonts w:hint="eastAsia" w:ascii="宋体" w:hAnsi="宋体" w:cs="宋体"/>
          <w:color w:val="auto"/>
          <w:highlight w:val="none"/>
          <w:lang w:eastAsia="zh-CN"/>
        </w:rPr>
        <w:t xml:space="preserve">《江苏省财政厅关于加强政府绿色采购有关事项的通知》（苏财购〔2023〕65号）</w:t>
      </w:r>
      <w:bookmarkEnd w:id="30"/>
      <w:r/>
      <w:bookmarkEnd w:id="31"/>
      <w:r>
        <w:rPr>
          <w:rFonts w:hint="eastAsia" w:ascii="宋体" w:hAnsi="宋体" w:cs="宋体"/>
          <w:color w:val="auto"/>
          <w:highlight w:val="none"/>
          <w:lang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25"/>
      <w:bookmarkEnd w:id="26"/>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Theme="majorHAnsi" w:hAnsiTheme="majorHAnsi" w:cstheme="majorBidi"/>
          <w:b/>
          <w:bCs/>
          <w:color w:val="auto"/>
          <w:sz w:val="32"/>
          <w:szCs w:val="32"/>
          <w:highlight w:val="none"/>
          <w:lang w:eastAsia="zh-CN"/>
        </w:rPr>
      </w:pPr>
      <w:r/>
      <w:bookmarkStart w:id="32" w:name="_Toc161316670"/>
      <w:r/>
      <w:bookmarkStart w:id="33" w:name="_Toc101981935"/>
      <w:r>
        <w:rPr>
          <w:color w:val="auto"/>
          <w:highlight w:val="none"/>
          <w:lang w:eastAsia="zh-CN"/>
        </w:rPr>
        <w:br w:type="page" w:clear="all"/>
      </w:r>
      <w:r/>
    </w:p>
    <w:p>
      <w:pPr>
        <w:pStyle w:val="856"/>
        <w:rPr>
          <w:color w:val="auto"/>
          <w:highlight w:val="none"/>
          <w:lang w:eastAsia="zh-CN"/>
        </w:rPr>
      </w:pPr>
      <w:r>
        <w:rPr>
          <w:rFonts w:hint="eastAsia"/>
          <w:color w:val="auto"/>
          <w:highlight w:val="none"/>
          <w:lang w:eastAsia="zh-CN"/>
        </w:rPr>
        <w:t xml:space="preserve">附件二：投标文件格式</w:t>
      </w:r>
      <w:bookmarkEnd w:id="32"/>
      <w:r/>
      <w:bookmarkEnd w:id="33"/>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color w:val="auto"/>
          <w:sz w:val="28"/>
          <w:highlight w:val="none"/>
          <w:lang w:eastAsia="zh-CN"/>
        </w:rPr>
      </w:pPr>
      <w:r>
        <w:rPr>
          <w:rFonts w:ascii="宋体" w:hAnsi="宋体" w:eastAsia="等线" w:cs="宋体"/>
          <w:b/>
          <w:color w:val="auto"/>
          <w:sz w:val="28"/>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spacing w:line="240" w:lineRule="auto"/>
        <w:rPr>
          <w:rFonts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致：无锡市南京大学锡山应用生物技术研究所</w:t>
      </w:r>
      <w:r/>
    </w:p>
    <w:p>
      <w:pPr>
        <w:ind w:firstLine="480"/>
        <w:jc w:val="both"/>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34" w:name="校园网系统报价和服务承诺表（格式）"/>
      <w:r/>
      <w:bookmarkEnd w:id="34"/>
      <w:r/>
      <w:bookmarkStart w:id="35" w:name="（报价人）法定代表人授权书（格式）"/>
      <w:r/>
      <w:bookmarkEnd w:id="35"/>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无锡市南京大学锡山应用生物技术研究所 ：</w:t>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无锡苏名建设咨询有限公司：  </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3"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5"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无锡市南京大学锡山应用生物技术研究所</w:t>
      </w:r>
      <w:r/>
    </w:p>
    <w:p>
      <w:pPr>
        <w:ind w:firstLine="48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w:t>
      </w:r>
      <w:r>
        <w:rPr>
          <w:rFonts w:hint="eastAsia" w:ascii="宋体" w:hAnsi="宋体" w:cs="宋体"/>
          <w:color w:val="auto"/>
          <w:szCs w:val="24"/>
          <w:highlight w:val="none"/>
          <w:lang w:eastAsia="zh-CN"/>
        </w:rPr>
        <w:t xml:space="preserve">中华人民共和国政府采购法</w:t>
      </w:r>
      <w:r>
        <w:rPr>
          <w:rFonts w:hint="eastAsia" w:ascii="宋体" w:hAnsi="宋体" w:cs="宋体"/>
          <w:color w:val="auto"/>
          <w:szCs w:val="24"/>
          <w:highlight w:val="none"/>
          <w:lang w:eastAsia="zh-CN"/>
        </w:rPr>
        <w:t xml:space="preserve">》等相关规定以及相关廉洁要求，特向贵单位承诺如下事项：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860"/>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无锡市南京大学锡山应用生物技术研究所实验室家具及配套设备采购项目</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供货期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r>
        <w:trPr>
          <w:cantSplit/>
          <w:trHeight w:val="9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项目最终验收合格之日起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年 </w:t>
            </w:r>
            <w:r/>
          </w:p>
        </w:tc>
      </w:tr>
    </w:tbl>
    <w:p>
      <w:pPr>
        <w:ind w:firstLine="0"/>
        <w:jc w:val="both"/>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spacing w:line="240" w:lineRule="auto"/>
        <w:rPr>
          <w:rFonts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36"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tbl>
      <w:tblPr>
        <w:tblStyle w:val="860"/>
        <w:tblpPr w:horzAnchor="page" w:tblpX="695" w:vertAnchor="text" w:tblpY="380" w:leftFromText="180" w:topFromText="0" w:rightFromText="180" w:bottomFromText="0"/>
        <w:tblW w:w="10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2"/>
        <w:gridCol w:w="929"/>
        <w:gridCol w:w="1249"/>
        <w:gridCol w:w="1569"/>
        <w:gridCol w:w="798"/>
        <w:gridCol w:w="770"/>
        <w:gridCol w:w="697"/>
        <w:gridCol w:w="1191"/>
        <w:gridCol w:w="1307"/>
        <w:gridCol w:w="1412"/>
      </w:tblGrid>
      <w:tr>
        <w:trPr>
          <w:cantSplit/>
          <w:trHeight w:val="764"/>
        </w:trPr>
        <w:tc>
          <w:tcPr>
            <w:tcMar>
              <w:left w:w="15" w:type="dxa"/>
              <w:top w:w="15" w:type="dxa"/>
              <w:right w:w="15" w:type="dxa"/>
              <w:bottom w:w="0" w:type="dxa"/>
            </w:tcMar>
            <w:tcW w:w="712"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序号</w:t>
            </w:r>
            <w:r/>
          </w:p>
        </w:tc>
        <w:tc>
          <w:tcPr>
            <w:tcMar>
              <w:left w:w="15" w:type="dxa"/>
              <w:top w:w="15" w:type="dxa"/>
              <w:right w:w="15" w:type="dxa"/>
              <w:bottom w:w="0" w:type="dxa"/>
            </w:tcMar>
            <w:tcW w:w="929"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名称</w:t>
            </w:r>
            <w:r/>
          </w:p>
        </w:tc>
        <w:tc>
          <w:tcPr>
            <w:tcMar>
              <w:left w:w="15" w:type="dxa"/>
              <w:top w:w="15" w:type="dxa"/>
              <w:right w:w="15" w:type="dxa"/>
              <w:bottom w:w="0" w:type="dxa"/>
            </w:tcMar>
            <w:tcW w:w="1249"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品牌型号</w:t>
            </w:r>
            <w:r/>
          </w:p>
        </w:tc>
        <w:tc>
          <w:tcPr>
            <w:tcMar>
              <w:left w:w="15" w:type="dxa"/>
              <w:top w:w="15" w:type="dxa"/>
              <w:right w:w="15" w:type="dxa"/>
              <w:bottom w:w="0" w:type="dxa"/>
            </w:tcMar>
            <w:tcW w:w="1569"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性能指标</w:t>
            </w:r>
            <w:r/>
          </w:p>
        </w:tc>
        <w:tc>
          <w:tcPr>
            <w:tcMar>
              <w:left w:w="15" w:type="dxa"/>
              <w:top w:w="15" w:type="dxa"/>
              <w:right w:w="15" w:type="dxa"/>
              <w:bottom w:w="0" w:type="dxa"/>
            </w:tcMar>
            <w:tcW w:w="798"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数量</w:t>
            </w:r>
            <w:r/>
          </w:p>
        </w:tc>
        <w:tc>
          <w:tcPr>
            <w:tcMar>
              <w:left w:w="15" w:type="dxa"/>
              <w:top w:w="15" w:type="dxa"/>
              <w:right w:w="15" w:type="dxa"/>
              <w:bottom w:w="0" w:type="dxa"/>
            </w:tcMar>
            <w:tcW w:w="770"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单位</w:t>
            </w:r>
            <w:r/>
          </w:p>
        </w:tc>
        <w:tc>
          <w:tcPr>
            <w:tcMar>
              <w:left w:w="15" w:type="dxa"/>
              <w:top w:w="15" w:type="dxa"/>
              <w:right w:w="15" w:type="dxa"/>
              <w:bottom w:w="0" w:type="dxa"/>
            </w:tcMar>
            <w:tcW w:w="697" w:type="dxa"/>
            <w:vAlign w:val="center"/>
            <w:textDirection w:val="lrTb"/>
            <w:noWrap/>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产地</w:t>
            </w:r>
            <w:r/>
          </w:p>
        </w:tc>
        <w:tc>
          <w:tcPr>
            <w:tcW w:w="1191"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免费质保期</w:t>
            </w:r>
            <w:r/>
          </w:p>
        </w:tc>
        <w:tc>
          <w:tcPr>
            <w:tcW w:w="1307"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单报价（元）</w:t>
            </w:r>
            <w:r/>
          </w:p>
        </w:tc>
        <w:tc>
          <w:tcPr>
            <w:tcW w:w="1412" w:type="dxa"/>
            <w:vAlign w:val="center"/>
            <w:textDirection w:val="lrTb"/>
            <w:noWrap w:val="false"/>
          </w:tcPr>
          <w:p>
            <w:pPr>
              <w:ind w:firstLine="0"/>
              <w:jc w:val="center"/>
              <w:spacing w:before="5"/>
              <w:rPr>
                <w:rFonts w:ascii="宋体" w:hAnsi="宋体" w:cs="宋体"/>
                <w:color w:val="auto"/>
                <w:sz w:val="18"/>
                <w:highlight w:val="none"/>
              </w:rPr>
            </w:pPr>
            <w:r>
              <w:rPr>
                <w:rFonts w:hint="eastAsia" w:ascii="宋体" w:hAnsi="宋体" w:cs="宋体"/>
                <w:color w:val="auto"/>
                <w:sz w:val="18"/>
                <w:highlight w:val="none"/>
              </w:rPr>
              <w:t xml:space="preserve">分项总报价（元）</w:t>
            </w:r>
            <w:r/>
          </w:p>
        </w:tc>
      </w:tr>
      <w:tr>
        <w:trPr>
          <w:cantSplit/>
          <w:trHeight w:val="670"/>
        </w:trPr>
        <w:tc>
          <w:tcPr>
            <w:tcMar>
              <w:left w:w="15" w:type="dxa"/>
              <w:top w:w="15" w:type="dxa"/>
              <w:right w:w="15" w:type="dxa"/>
              <w:bottom w:w="0" w:type="dxa"/>
            </w:tcMar>
            <w:tcW w:w="712" w:type="dxa"/>
            <w:vAlign w:val="center"/>
            <w:textDirection w:val="lrTb"/>
            <w:noWrap/>
          </w:tcPr>
          <w:p>
            <w:pPr>
              <w:pStyle w:val="894"/>
              <w:spacing w:before="5"/>
              <w:tabs>
                <w:tab w:val="clear" w:pos="4153" w:leader="none"/>
                <w:tab w:val="clear" w:pos="8306" w:leader="none"/>
              </w:tabs>
              <w:rPr>
                <w:rFonts w:ascii="宋体" w:hAnsi="宋体" w:eastAsia="宋体" w:cs="宋体"/>
                <w:color w:val="auto"/>
                <w:highlight w:val="none"/>
              </w:rPr>
              <w:pBdr>
                <w:bottom w:val="none" w:color="000000" w:sz="0" w:space="0"/>
              </w:pBdr>
            </w:pPr>
            <w:r>
              <w:rPr>
                <w:rFonts w:ascii="宋体" w:hAnsi="宋体" w:eastAsia="宋体" w:cs="宋体"/>
                <w:color w:val="auto"/>
                <w:highlight w:val="none"/>
              </w:rPr>
            </w:r>
            <w:r/>
          </w:p>
        </w:tc>
        <w:tc>
          <w:tcPr>
            <w:tcMar>
              <w:left w:w="15" w:type="dxa"/>
              <w:top w:w="15" w:type="dxa"/>
              <w:right w:w="15" w:type="dxa"/>
              <w:bottom w:w="0" w:type="dxa"/>
            </w:tcMar>
            <w:tcW w:w="929" w:type="dxa"/>
            <w:vAlign w:val="center"/>
            <w:textDirection w:val="lrTb"/>
            <w:noWrap/>
          </w:tcPr>
          <w:p>
            <w:pPr>
              <w:pStyle w:val="894"/>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249" w:type="dxa"/>
            <w:vAlign w:val="center"/>
            <w:textDirection w:val="lrTb"/>
            <w:noWrap w:val="false"/>
          </w:tcPr>
          <w:p>
            <w:pPr>
              <w:pStyle w:val="894"/>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569" w:type="dxa"/>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98"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70"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Mar>
              <w:left w:w="15" w:type="dxa"/>
              <w:top w:w="15" w:type="dxa"/>
              <w:right w:w="15" w:type="dxa"/>
              <w:bottom w:w="0" w:type="dxa"/>
            </w:tcMar>
            <w:tcW w:w="697"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W w:w="1191" w:type="dxa"/>
            <w:vAlign w:val="center"/>
            <w:textDirection w:val="lrTb"/>
            <w:noWrap w:val="false"/>
          </w:tcPr>
          <w:p>
            <w:pPr>
              <w:ind w:firstLine="482"/>
              <w:jc w:val="center"/>
              <w:rPr>
                <w:rFonts w:ascii="宋体" w:hAnsi="宋体" w:cs="宋体"/>
                <w:b/>
                <w:bCs/>
                <w:color w:val="auto"/>
                <w:highlight w:val="none"/>
              </w:rPr>
            </w:pPr>
            <w:r>
              <w:rPr>
                <w:rFonts w:ascii="宋体" w:hAnsi="宋体" w:cs="宋体"/>
                <w:b/>
                <w:bCs/>
                <w:color w:val="auto"/>
                <w:highlight w:val="none"/>
              </w:rPr>
            </w:r>
            <w:r/>
          </w:p>
        </w:tc>
        <w:tc>
          <w:tcPr>
            <w:tcW w:w="1307"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c>
          <w:tcPr>
            <w:tcW w:w="1412"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r>
      <w:tr>
        <w:trPr>
          <w:cantSplit/>
          <w:trHeight w:val="670"/>
        </w:trPr>
        <w:tc>
          <w:tcPr>
            <w:tcMar>
              <w:left w:w="15" w:type="dxa"/>
              <w:top w:w="15" w:type="dxa"/>
              <w:right w:w="15" w:type="dxa"/>
              <w:bottom w:w="0" w:type="dxa"/>
            </w:tcMar>
            <w:tcW w:w="712" w:type="dxa"/>
            <w:vAlign w:val="center"/>
            <w:textDirection w:val="lrTb"/>
            <w:noWrap/>
          </w:tcPr>
          <w:p>
            <w:pPr>
              <w:pStyle w:val="894"/>
              <w:spacing w:before="5"/>
              <w:tabs>
                <w:tab w:val="clear" w:pos="4153" w:leader="none"/>
                <w:tab w:val="clear" w:pos="8306" w:leader="none"/>
              </w:tabs>
              <w:rPr>
                <w:rFonts w:ascii="宋体" w:hAnsi="宋体" w:eastAsia="宋体" w:cs="宋体"/>
                <w:color w:val="auto"/>
                <w:highlight w:val="none"/>
              </w:rPr>
              <w:pBdr>
                <w:bottom w:val="none" w:color="000000" w:sz="0" w:space="0"/>
              </w:pBdr>
            </w:pPr>
            <w:r>
              <w:rPr>
                <w:rFonts w:ascii="宋体" w:hAnsi="宋体" w:eastAsia="宋体" w:cs="宋体"/>
                <w:color w:val="auto"/>
                <w:highlight w:val="none"/>
              </w:rPr>
            </w:r>
            <w:r/>
          </w:p>
        </w:tc>
        <w:tc>
          <w:tcPr>
            <w:tcMar>
              <w:left w:w="15" w:type="dxa"/>
              <w:top w:w="15" w:type="dxa"/>
              <w:right w:w="15" w:type="dxa"/>
              <w:bottom w:w="0" w:type="dxa"/>
            </w:tcMar>
            <w:tcW w:w="929" w:type="dxa"/>
            <w:vAlign w:val="center"/>
            <w:textDirection w:val="lrTb"/>
            <w:noWrap/>
          </w:tcPr>
          <w:p>
            <w:pPr>
              <w:pStyle w:val="894"/>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249" w:type="dxa"/>
            <w:vAlign w:val="center"/>
            <w:textDirection w:val="lrTb"/>
            <w:noWrap w:val="false"/>
          </w:tcPr>
          <w:p>
            <w:pPr>
              <w:pStyle w:val="894"/>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569" w:type="dxa"/>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98"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70"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Mar>
              <w:left w:w="15" w:type="dxa"/>
              <w:top w:w="15" w:type="dxa"/>
              <w:right w:w="15" w:type="dxa"/>
              <w:bottom w:w="0" w:type="dxa"/>
            </w:tcMar>
            <w:tcW w:w="697" w:type="dxa"/>
            <w:vAlign w:val="center"/>
            <w:textDirection w:val="lrTb"/>
            <w:noWrap/>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191" w:type="dxa"/>
            <w:vAlign w:val="center"/>
            <w:textDirection w:val="lrTb"/>
            <w:noWrap w:val="false"/>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307"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c>
          <w:tcPr>
            <w:tcW w:w="1412"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r>
      <w:tr>
        <w:trPr>
          <w:cantSplit/>
          <w:trHeight w:val="620"/>
        </w:trPr>
        <w:tc>
          <w:tcPr>
            <w:tcMar>
              <w:left w:w="15" w:type="dxa"/>
              <w:top w:w="15" w:type="dxa"/>
              <w:right w:w="15" w:type="dxa"/>
              <w:bottom w:w="0" w:type="dxa"/>
            </w:tcMar>
            <w:tcW w:w="712" w:type="dxa"/>
            <w:vAlign w:val="center"/>
            <w:textDirection w:val="lrTb"/>
            <w:noWrap/>
          </w:tcPr>
          <w:p>
            <w:pPr>
              <w:ind w:firstLine="360"/>
              <w:jc w:val="center"/>
              <w:rPr>
                <w:rFonts w:ascii="宋体" w:hAnsi="宋体" w:cs="宋体"/>
                <w:color w:val="auto"/>
                <w:sz w:val="18"/>
                <w:highlight w:val="none"/>
              </w:rPr>
            </w:pPr>
            <w:r>
              <w:rPr>
                <w:rFonts w:ascii="宋体" w:hAnsi="宋体" w:cs="宋体"/>
                <w:color w:val="auto"/>
                <w:sz w:val="18"/>
                <w:highlight w:val="none"/>
              </w:rPr>
            </w:r>
            <w:r/>
          </w:p>
        </w:tc>
        <w:tc>
          <w:tcPr>
            <w:tcMar>
              <w:left w:w="15" w:type="dxa"/>
              <w:top w:w="15" w:type="dxa"/>
              <w:right w:w="15" w:type="dxa"/>
              <w:bottom w:w="0" w:type="dxa"/>
            </w:tcMar>
            <w:tcW w:w="929" w:type="dxa"/>
            <w:vAlign w:val="center"/>
            <w:textDirection w:val="lrTb"/>
            <w:noWrap/>
          </w:tcPr>
          <w:p>
            <w:pPr>
              <w:ind w:firstLine="480"/>
              <w:jc w:val="center"/>
              <w:rPr>
                <w:rFonts w:ascii="宋体" w:hAnsi="宋体" w:cs="宋体"/>
                <w:color w:val="auto"/>
                <w:highlight w:val="none"/>
              </w:rPr>
            </w:pPr>
            <w:r>
              <w:rPr>
                <w:rFonts w:ascii="宋体" w:hAnsi="宋体" w:cs="宋体"/>
                <w:color w:val="auto"/>
                <w:highlight w:val="none"/>
              </w:rPr>
            </w:r>
            <w:r/>
          </w:p>
        </w:tc>
        <w:tc>
          <w:tcPr>
            <w:tcMar>
              <w:left w:w="15" w:type="dxa"/>
              <w:top w:w="15" w:type="dxa"/>
              <w:right w:w="15" w:type="dxa"/>
              <w:bottom w:w="0" w:type="dxa"/>
            </w:tcMar>
            <w:tcW w:w="1249" w:type="dxa"/>
            <w:vAlign w:val="center"/>
            <w:textDirection w:val="lrTb"/>
            <w:noWrap w:val="false"/>
          </w:tcPr>
          <w:p>
            <w:pPr>
              <w:pStyle w:val="894"/>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569"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98" w:type="dxa"/>
            <w:vAlign w:val="center"/>
            <w:textDirection w:val="lrTb"/>
            <w:noWrap w:val="false"/>
          </w:tcPr>
          <w:p>
            <w:pPr>
              <w:ind w:firstLine="360"/>
              <w:jc w:val="center"/>
              <w:rPr>
                <w:rFonts w:ascii="宋体" w:hAnsi="宋体" w:cs="宋体"/>
                <w:bCs/>
                <w:color w:val="auto"/>
                <w:sz w:val="18"/>
                <w:highlight w:val="none"/>
              </w:rPr>
            </w:pPr>
            <w:r>
              <w:rPr>
                <w:rFonts w:ascii="宋体" w:hAnsi="宋体" w:cs="宋体"/>
                <w:bCs/>
                <w:color w:val="auto"/>
                <w:sz w:val="18"/>
                <w:highlight w:val="none"/>
              </w:rPr>
            </w:r>
            <w:r/>
          </w:p>
        </w:tc>
        <w:tc>
          <w:tcPr>
            <w:tcMar>
              <w:left w:w="15" w:type="dxa"/>
              <w:top w:w="15" w:type="dxa"/>
              <w:right w:w="15" w:type="dxa"/>
              <w:bottom w:w="0" w:type="dxa"/>
            </w:tcMar>
            <w:tcW w:w="770" w:type="dxa"/>
            <w:vAlign w:val="center"/>
            <w:textDirection w:val="lrTb"/>
            <w:noWrap/>
          </w:tcPr>
          <w:p>
            <w:pPr>
              <w:ind w:firstLine="482"/>
              <w:jc w:val="center"/>
              <w:rPr>
                <w:rFonts w:ascii="宋体" w:hAnsi="宋体" w:cs="宋体"/>
                <w:b/>
                <w:bCs/>
                <w:color w:val="auto"/>
                <w:highlight w:val="none"/>
              </w:rPr>
            </w:pPr>
            <w:r>
              <w:rPr>
                <w:rFonts w:ascii="宋体" w:hAnsi="宋体" w:cs="宋体"/>
                <w:b/>
                <w:bCs/>
                <w:color w:val="auto"/>
                <w:highlight w:val="none"/>
              </w:rPr>
            </w:r>
            <w:r/>
          </w:p>
        </w:tc>
        <w:tc>
          <w:tcPr>
            <w:tcMar>
              <w:left w:w="15" w:type="dxa"/>
              <w:top w:w="15" w:type="dxa"/>
              <w:right w:w="15" w:type="dxa"/>
              <w:bottom w:w="0" w:type="dxa"/>
            </w:tcMar>
            <w:tcW w:w="697" w:type="dxa"/>
            <w:vAlign w:val="center"/>
            <w:textDirection w:val="lrTb"/>
            <w:noWrap/>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191" w:type="dxa"/>
            <w:vAlign w:val="center"/>
            <w:textDirection w:val="lrTb"/>
            <w:noWrap w:val="false"/>
          </w:tcPr>
          <w:p>
            <w:pPr>
              <w:ind w:firstLine="482"/>
              <w:jc w:val="center"/>
              <w:rPr>
                <w:rFonts w:ascii="宋体" w:hAnsi="宋体" w:cs="宋体"/>
                <w:b/>
                <w:bCs/>
                <w:color w:val="auto"/>
                <w:szCs w:val="24"/>
                <w:highlight w:val="none"/>
              </w:rPr>
            </w:pPr>
            <w:r>
              <w:rPr>
                <w:rFonts w:hint="eastAsia" w:ascii="宋体" w:hAnsi="宋体" w:cs="宋体"/>
                <w:b/>
                <w:bCs/>
                <w:color w:val="auto"/>
                <w:highlight w:val="none"/>
              </w:rPr>
              <w:t xml:space="preserve">　</w:t>
            </w:r>
            <w:r/>
          </w:p>
        </w:tc>
        <w:tc>
          <w:tcPr>
            <w:tcW w:w="1307"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c>
          <w:tcPr>
            <w:tcW w:w="1412" w:type="dxa"/>
            <w:vAlign w:val="center"/>
            <w:textDirection w:val="lrTb"/>
            <w:noWrap w:val="false"/>
          </w:tcPr>
          <w:p>
            <w:pPr>
              <w:ind w:firstLine="482"/>
              <w:jc w:val="center"/>
              <w:rPr>
                <w:rFonts w:ascii="宋体" w:hAnsi="宋体" w:cs="宋体"/>
                <w:b/>
                <w:bCs/>
                <w:color w:val="auto"/>
                <w:szCs w:val="24"/>
                <w:highlight w:val="none"/>
              </w:rPr>
            </w:pPr>
            <w:r>
              <w:rPr>
                <w:rFonts w:ascii="宋体" w:hAnsi="宋体" w:cs="宋体"/>
                <w:b/>
                <w:bCs/>
                <w:color w:val="auto"/>
                <w:szCs w:val="24"/>
                <w:highlight w:val="none"/>
              </w:rPr>
            </w:r>
            <w:r/>
          </w:p>
        </w:tc>
      </w:tr>
      <w:tr>
        <w:trPr>
          <w:cantSplit/>
          <w:trHeight w:val="691"/>
        </w:trPr>
        <w:tc>
          <w:tcPr>
            <w:gridSpan w:val="3"/>
            <w:tcMar>
              <w:left w:w="15" w:type="dxa"/>
              <w:top w:w="15" w:type="dxa"/>
              <w:right w:w="15" w:type="dxa"/>
              <w:bottom w:w="0" w:type="dxa"/>
            </w:tcMar>
            <w:tcW w:w="2890" w:type="dxa"/>
            <w:vAlign w:val="center"/>
            <w:textDirection w:val="lrTb"/>
            <w:noWrap/>
          </w:tcPr>
          <w:p>
            <w:pPr>
              <w:pStyle w:val="894"/>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合计（元）</w:t>
            </w:r>
            <w:r/>
          </w:p>
        </w:tc>
        <w:tc>
          <w:tcPr>
            <w:gridSpan w:val="7"/>
            <w:tcMar>
              <w:left w:w="15" w:type="dxa"/>
              <w:top w:w="15" w:type="dxa"/>
              <w:right w:w="15" w:type="dxa"/>
              <w:bottom w:w="0" w:type="dxa"/>
            </w:tcMar>
            <w:tcW w:w="7744" w:type="dxa"/>
            <w:vAlign w:val="center"/>
            <w:textDirection w:val="lrTb"/>
            <w:noWrap w:val="false"/>
          </w:tcPr>
          <w:p>
            <w:pPr>
              <w:ind w:firstLine="480"/>
              <w:jc w:val="center"/>
              <w:rPr>
                <w:rFonts w:ascii="宋体" w:hAnsi="宋体" w:cs="宋体"/>
                <w:bCs/>
                <w:color w:val="auto"/>
                <w:szCs w:val="24"/>
                <w:highlight w:val="none"/>
              </w:rPr>
            </w:pPr>
            <w:r>
              <w:rPr>
                <w:rFonts w:ascii="宋体" w:hAnsi="宋体" w:cs="宋体"/>
                <w:bCs/>
                <w:color w:val="auto"/>
                <w:szCs w:val="24"/>
                <w:highlight w:val="none"/>
              </w:rPr>
            </w:r>
            <w:r/>
          </w:p>
        </w:tc>
      </w:tr>
      <w:tr>
        <w:trPr>
          <w:cantSplit/>
          <w:trHeight w:val="691"/>
        </w:trPr>
        <w:tc>
          <w:tcPr>
            <w:gridSpan w:val="3"/>
            <w:tcMar>
              <w:left w:w="15" w:type="dxa"/>
              <w:top w:w="15" w:type="dxa"/>
              <w:right w:w="15" w:type="dxa"/>
              <w:bottom w:w="0" w:type="dxa"/>
            </w:tcMar>
            <w:tcW w:w="2890" w:type="dxa"/>
            <w:vAlign w:val="center"/>
            <w:textDirection w:val="lrTb"/>
            <w:noWrap/>
          </w:tcPr>
          <w:p>
            <w:pPr>
              <w:pStyle w:val="894"/>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sz w:val="24"/>
                <w:highlight w:val="none"/>
              </w:rPr>
              <w:t xml:space="preserve">交付周期</w:t>
            </w:r>
            <w:r/>
          </w:p>
        </w:tc>
        <w:tc>
          <w:tcPr>
            <w:gridSpan w:val="7"/>
            <w:tcMar>
              <w:left w:w="15" w:type="dxa"/>
              <w:top w:w="15" w:type="dxa"/>
              <w:right w:w="15" w:type="dxa"/>
              <w:bottom w:w="0" w:type="dxa"/>
            </w:tcMar>
            <w:tcW w:w="7744" w:type="dxa"/>
            <w:vAlign w:val="center"/>
            <w:textDirection w:val="lrTb"/>
            <w:noWrap w:val="false"/>
          </w:tcPr>
          <w:p>
            <w:pPr>
              <w:ind w:firstLine="480"/>
              <w:jc w:val="center"/>
              <w:rPr>
                <w:rFonts w:ascii="宋体" w:hAnsi="宋体" w:cs="宋体"/>
                <w:bCs/>
                <w:color w:val="auto"/>
                <w:szCs w:val="24"/>
                <w:highlight w:val="none"/>
                <w:u w:val="single"/>
                <w:lang w:eastAsia="zh-CN"/>
              </w:rPr>
            </w:pPr>
            <w:r>
              <w:rPr>
                <w:rFonts w:ascii="宋体" w:hAnsi="宋体" w:cs="宋体"/>
                <w:bCs/>
                <w:color w:val="auto"/>
                <w:szCs w:val="24"/>
                <w:highlight w:val="none"/>
                <w:u w:val="single"/>
                <w:lang w:eastAsia="zh-CN"/>
              </w:rPr>
            </w:r>
            <w:r/>
          </w:p>
        </w:tc>
      </w:tr>
      <w:tr>
        <w:trPr>
          <w:cantSplit/>
          <w:trHeight w:val="712"/>
        </w:trPr>
        <w:tc>
          <w:tcPr>
            <w:gridSpan w:val="3"/>
            <w:tcMar>
              <w:left w:w="15" w:type="dxa"/>
              <w:top w:w="15" w:type="dxa"/>
              <w:right w:w="15" w:type="dxa"/>
              <w:bottom w:w="0" w:type="dxa"/>
            </w:tcMar>
            <w:tcW w:w="2890" w:type="dxa"/>
            <w:vAlign w:val="center"/>
            <w:textDirection w:val="lrTb"/>
            <w:noWrap/>
          </w:tcPr>
          <w:p>
            <w:pPr>
              <w:pStyle w:val="894"/>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项目整体免费质保期</w:t>
            </w:r>
            <w:r/>
          </w:p>
        </w:tc>
        <w:tc>
          <w:tcPr>
            <w:gridSpan w:val="7"/>
            <w:tcMar>
              <w:left w:w="15" w:type="dxa"/>
              <w:top w:w="15" w:type="dxa"/>
              <w:right w:w="15" w:type="dxa"/>
              <w:bottom w:w="0" w:type="dxa"/>
            </w:tcMar>
            <w:tcW w:w="7744" w:type="dxa"/>
            <w:vAlign w:val="center"/>
            <w:textDirection w:val="lrTb"/>
            <w:noWrap w:val="false"/>
          </w:tcPr>
          <w:p>
            <w:pPr>
              <w:ind w:firstLine="480"/>
              <w:jc w:val="center"/>
              <w:rPr>
                <w:rFonts w:ascii="宋体" w:hAnsi="宋体" w:cs="宋体"/>
                <w:b/>
                <w:bCs/>
                <w:color w:val="auto"/>
                <w:szCs w:val="24"/>
                <w:highlight w:val="none"/>
                <w:lang w:eastAsia="zh-CN"/>
              </w:rPr>
            </w:pPr>
            <w:r>
              <w:rPr>
                <w:rFonts w:hint="eastAsia" w:ascii="宋体" w:hAnsi="宋体" w:cs="宋体"/>
                <w:color w:val="auto"/>
                <w:szCs w:val="28"/>
                <w:highlight w:val="none"/>
                <w:lang w:eastAsia="zh-CN"/>
              </w:rPr>
              <w:t xml:space="preserve">项目经最终验收合格之日起____年</w:t>
            </w:r>
            <w:r/>
          </w:p>
        </w:tc>
      </w:tr>
    </w:tbl>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（1）该报价包括满足本项目要求的所有产品及其配件、包装、运杂、安装调试及售后服务等从项目中标起到项目正式交付以及免费质保期内所发生的一切费用；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（2）投标供应商应当根据“项目要求和有关说明”的内容在上表中详细填写；</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（3）表格不够可自行延长，但不得改变文本格式。</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widowControl w:val="off"/>
        <w:rPr>
          <w:rFonts w:ascii="宋体" w:hAnsi="宋体" w:cs="宋体"/>
          <w:color w:val="auto"/>
          <w:sz w:val="21"/>
          <w:highlight w:val="none"/>
          <w:lang w:val="zh-CN" w:eastAsia="zh-CN"/>
        </w:rPr>
      </w:pPr>
      <w:r>
        <w:rPr>
          <w:rFonts w:ascii="宋体" w:hAnsi="宋体" w:cs="宋体"/>
          <w:color w:val="auto"/>
          <w:sz w:val="21"/>
          <w:highlight w:val="none"/>
          <w:lang w:val="zh-CN"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 xml:space="preserve">日期：</w:t>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r/>
    </w:p>
    <w:p>
      <w:pPr>
        <w:ind w:firstLine="0"/>
        <w:jc w:val="center"/>
        <w:spacing w:before="5" w:line="240" w:lineRule="auto"/>
        <w:widowControl w:val="off"/>
        <w:rPr>
          <w:rFonts w:ascii="宋体" w:hAnsi="宋体" w:eastAsia="等线"/>
          <w:b/>
          <w:bCs/>
          <w:color w:val="auto"/>
          <w:sz w:val="21"/>
          <w:highlight w:val="none"/>
          <w:lang w:eastAsia="zh-CN"/>
        </w:rPr>
      </w:pPr>
      <w:r>
        <w:rPr>
          <w:rFonts w:ascii="宋体" w:hAnsi="宋体" w:eastAsia="等线"/>
          <w:b/>
          <w:bCs/>
          <w:color w:val="auto"/>
          <w:sz w:val="21"/>
          <w:highlight w:val="none"/>
          <w:lang w:eastAsia="zh-CN"/>
        </w:rPr>
      </w:r>
      <w:bookmarkEnd w:id="36"/>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numPr>
          <w:ilvl w:val="0"/>
          <w:numId w:val="8"/>
        </w:num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中小企业声明函（格式）：</w:t>
      </w:r>
      <w:r/>
    </w:p>
    <w:p>
      <w:pPr>
        <w:ind w:firstLine="0"/>
        <w:jc w:val="center"/>
        <w:widowControl w:val="off"/>
        <w:rPr>
          <w:rFonts w:ascii="Tahoma" w:hAnsi="Tahoma" w:cs="Times New Roman"/>
          <w:color w:val="auto"/>
          <w:szCs w:val="20"/>
          <w:highlight w:val="none"/>
          <w:lang w:eastAsia="zh-CN"/>
        </w:rPr>
      </w:pPr>
      <w:r/>
      <w:bookmarkStart w:id="37" w:name="_Hlk104972057"/>
      <w:r>
        <w:rPr>
          <w:rFonts w:hint="eastAsia" w:ascii="黑体" w:hAnsi="黑体" w:eastAsia="黑体" w:cs="Times New Roman"/>
          <w:bCs/>
          <w:color w:val="auto"/>
          <w:sz w:val="28"/>
          <w:szCs w:val="28"/>
          <w:highlight w:val="none"/>
          <w:lang w:eastAsia="zh-CN"/>
        </w:rPr>
        <w:t xml:space="preserve">中小企业声明函（货物）</w:t>
      </w:r>
      <w:r/>
    </w:p>
    <w:p>
      <w:pPr>
        <w:ind w:firstLine="480"/>
        <w:rPr>
          <w:rFonts w:ascii="宋体" w:hAnsi="宋体" w:cs="宋体"/>
          <w:color w:val="auto"/>
          <w:highlight w:val="none"/>
        </w:rPr>
      </w:pPr>
      <w:r>
        <w:rPr>
          <w:rFonts w:hint="eastAsia" w:ascii="宋体" w:hAnsi="宋体" w:cs="宋体"/>
          <w:color w:val="auto"/>
          <w:highlight w:val="none"/>
          <w:lang w:eastAsia="zh-CN" w:bidi="ar"/>
        </w:rPr>
        <w:t xml:space="preserve">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参加</w:t>
      </w:r>
      <w:r>
        <w:rPr>
          <w:rFonts w:hint="eastAsia" w:ascii="宋体" w:hAnsi="宋体" w:cs="宋体"/>
          <w:iCs/>
          <w:color w:val="auto"/>
          <w:highlight w:val="none"/>
          <w:u w:val="single"/>
          <w:lang w:eastAsia="zh-CN" w:bidi="ar"/>
        </w:rPr>
        <w:t xml:space="preserve">无锡市南京大学锡山应用生物技术研究所</w:t>
      </w:r>
      <w:r>
        <w:rPr>
          <w:rFonts w:hint="eastAsia" w:ascii="宋体" w:hAnsi="宋体" w:cs="宋体"/>
          <w:color w:val="auto"/>
          <w:highlight w:val="none"/>
          <w:lang w:eastAsia="zh-CN" w:bidi="ar"/>
        </w:rPr>
        <w:t xml:space="preserve">的</w:t>
      </w:r>
      <w:r>
        <w:rPr>
          <w:rFonts w:hint="eastAsia" w:ascii="宋体" w:hAnsi="宋体" w:cs="宋体"/>
          <w:i/>
          <w:color w:val="auto"/>
          <w:highlight w:val="none"/>
          <w:u w:val="single"/>
          <w:lang w:eastAsia="zh-CN" w:bidi="ar"/>
        </w:rPr>
        <w:t xml:space="preserve">（项目名称）</w:t>
      </w:r>
      <w:r>
        <w:rPr>
          <w:rFonts w:hint="eastAsia" w:ascii="宋体" w:hAnsi="宋体" w:cs="宋体"/>
          <w:color w:val="auto"/>
          <w:highlight w:val="none"/>
          <w:lang w:eastAsia="zh-CN" w:bidi="ar"/>
        </w:rPr>
        <w:t xml:space="preserve">采购活动，</w:t>
      </w:r>
      <w:r>
        <w:rPr>
          <w:rFonts w:hint="eastAsia" w:ascii="宋体" w:hAnsi="宋体" w:cs="宋体"/>
          <w:color w:val="auto"/>
          <w:highlight w:val="none"/>
          <w:lang w:eastAsia="zh-CN"/>
        </w:rPr>
        <w:t xml:space="preserve">提供的货物全部由符合政策要求的中小企业制造。</w:t>
      </w:r>
      <w:r>
        <w:rPr>
          <w:rFonts w:hint="eastAsia" w:ascii="宋体" w:hAnsi="宋体" w:cs="宋体"/>
          <w:color w:val="auto"/>
          <w:highlight w:val="none"/>
        </w:rPr>
        <w:t xml:space="preserve">企业的具体情况如下</w:t>
      </w:r>
      <w:r>
        <w:rPr>
          <w:rFonts w:hint="eastAsia" w:ascii="宋体" w:hAnsi="宋体" w:cs="宋体"/>
          <w:color w:val="auto"/>
          <w:highlight w:val="none"/>
          <w:lang w:bidi="ar"/>
        </w:rPr>
        <w:t xml:space="preserve">：</w:t>
      </w:r>
      <w:r/>
    </w:p>
    <w:p>
      <w:pPr>
        <w:numPr>
          <w:ilvl w:val="0"/>
          <w:numId w:val="9"/>
        </w:numPr>
        <w:ind w:firstLine="480"/>
        <w:rPr>
          <w:rFonts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9"/>
        </w:numPr>
        <w:ind w:firstLine="480"/>
        <w:rPr>
          <w:rFonts w:ascii="宋体" w:hAnsi="宋体" w:cs="宋体"/>
          <w:color w:val="auto"/>
          <w:highlight w:val="none"/>
          <w:lang w:eastAsia="zh-CN" w:bidi="ar"/>
        </w:rPr>
      </w:pPr>
      <w:r>
        <w:rPr>
          <w:rFonts w:hint="eastAsia" w:ascii="宋体" w:hAnsi="宋体" w:cs="宋体"/>
          <w:color w:val="auto"/>
          <w:highlight w:val="none"/>
          <w:u w:val="single"/>
          <w:lang w:eastAsia="zh-CN" w:bidi="ar"/>
        </w:rPr>
        <w:t xml:space="preserve">（标的名称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ind w:firstLine="480"/>
        <w:rPr>
          <w:rFonts w:ascii="宋体" w:hAnsi="宋体" w:cs="宋体"/>
          <w:color w:val="auto"/>
          <w:highlight w:val="none"/>
          <w:lang w:eastAsia="zh-CN" w:bidi="ar"/>
        </w:rPr>
      </w:pPr>
      <w:r>
        <w:rPr>
          <w:rFonts w:hint="eastAsia" w:ascii="宋体" w:hAnsi="宋体" w:cs="宋体"/>
          <w:color w:val="auto"/>
          <w:highlight w:val="none"/>
          <w:lang w:eastAsia="zh-CN" w:bidi="ar"/>
        </w:rPr>
        <w:t xml:space="preserve">……</w:t>
      </w:r>
      <w:r/>
    </w:p>
    <w:p>
      <w:pPr>
        <w:pStyle w:val="872"/>
        <w:ind w:firstLine="480"/>
        <w:spacing w:before="120" w:beforeAutospacing="0" w:after="120" w:afterAutospacing="0"/>
        <w:rPr>
          <w:color w:val="auto"/>
          <w:highlight w:val="none"/>
          <w:lang w:eastAsia="zh-CN"/>
        </w:rPr>
      </w:pPr>
      <w:r>
        <w:rPr>
          <w:rFonts w:hint="eastAsia"/>
          <w:color w:val="auto"/>
          <w:highlight w:val="none"/>
          <w:lang w:eastAsia="zh-CN"/>
        </w:rPr>
        <w:t xml:space="preserve">　　以上企业，不属于大企业的分支机构，不存在控股股东为大企业的情形，也不存在与大企业的负责人为同一人的情形。</w:t>
      </w:r>
      <w:r/>
    </w:p>
    <w:p>
      <w:pPr>
        <w:pStyle w:val="872"/>
        <w:ind w:firstLine="480"/>
        <w:spacing w:before="120" w:beforeAutospacing="0" w:after="120" w:afterAutospacing="0"/>
        <w:rPr>
          <w:color w:val="auto"/>
          <w:highlight w:val="none"/>
          <w:lang w:eastAsia="zh-CN"/>
        </w:rPr>
      </w:pPr>
      <w:r>
        <w:rPr>
          <w:rFonts w:hint="eastAsia"/>
          <w:color w:val="auto"/>
          <w:highlight w:val="none"/>
          <w:lang w:eastAsia="zh-CN"/>
        </w:rPr>
        <w:t xml:space="preserve">　　本企业对上述声明内容的真实性负责。如有虚假，将依法承担相应责任。</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r/>
    </w:p>
    <w:p>
      <w:pPr>
        <w:ind w:firstLine="482"/>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jc w:val="both"/>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4.在货物采购项目中，供应商提供的货物既有中小企业制造货物，也有大型企业制造货物的，不享受本办法规定的中小企业扶持政策。</w:t>
      </w:r>
      <w:bookmarkEnd w:id="37"/>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after="120"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残疾人福利性单位声明函</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无锡市南京大学锡山应用生物技术研究所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pStyle w:val="861"/>
        <w:rPr>
          <w:lang w:eastAsia="zh-CN"/>
        </w:rPr>
      </w:pPr>
      <w:r>
        <w:rPr>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bookmarkStart w:id="39" w:name="_GoBack"/>
      <w:r/>
      <w:bookmarkEnd w:id="39"/>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pStyle w:val="861"/>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480" w:lineRule="exact"/>
        <w:rPr>
          <w:rFonts w:ascii="宋体" w:hAnsi="宋体" w:cs="宋体"/>
          <w:b/>
          <w:color w:val="auto"/>
          <w:szCs w:val="24"/>
          <w:highlight w:val="none"/>
          <w:lang w:eastAsia="zh-CN"/>
        </w:rPr>
      </w:pPr>
      <w:r>
        <w:rPr>
          <w:rFonts w:hint="eastAsia" w:ascii="宋体" w:hAnsi="宋体" w:cs="宋体"/>
          <w:b/>
          <w:bCs/>
          <w:color w:val="auto"/>
          <w:szCs w:val="24"/>
          <w:highlight w:val="none"/>
          <w:lang w:eastAsia="zh-CN"/>
        </w:rPr>
        <w:t xml:space="preserve">（九）关于符合本国产品标准的声明函</w:t>
      </w:r>
      <w:r>
        <w:rPr>
          <w:rFonts w:hint="eastAsia" w:ascii="宋体" w:hAnsi="宋体" w:cs="宋体"/>
          <w:b/>
          <w:color w:val="auto"/>
          <w:szCs w:val="24"/>
          <w:highlight w:val="none"/>
          <w:lang w:eastAsia="zh-CN"/>
        </w:rPr>
        <w:t xml:space="preserve">（格式）：</w:t>
      </w:r>
      <w:r/>
    </w:p>
    <w:p>
      <w:pPr>
        <w:numPr>
          <w:ilvl w:val="255"/>
          <w:numId w:val="0"/>
        </w:numPr>
        <w:spacing w:line="480" w:lineRule="exact"/>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903"/>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903"/>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903"/>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903"/>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903"/>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908"/>
        <w:rPr>
          <w:rFonts w:ascii="宋体" w:hAnsi="宋体" w:cs="宋体"/>
          <w:color w:val="auto"/>
          <w:sz w:val="24"/>
          <w:highlight w:val="none"/>
        </w:rPr>
      </w:pPr>
      <w:r>
        <w:rPr>
          <w:rFonts w:ascii="宋体" w:hAnsi="宋体" w:cs="宋体"/>
          <w:color w:val="auto"/>
          <w:sz w:val="24"/>
          <w:highlight w:val="none"/>
        </w:rPr>
      </w:r>
      <w:r/>
    </w:p>
    <w:p>
      <w:pPr>
        <w:pStyle w:val="903"/>
        <w:rPr>
          <w:rFonts w:ascii="宋体" w:hAnsi="宋体" w:cs="宋体"/>
          <w:color w:val="auto"/>
          <w:sz w:val="24"/>
          <w:highlight w:val="none"/>
        </w:rPr>
      </w:pPr>
      <w:r>
        <w:rPr>
          <w:rFonts w:ascii="宋体" w:hAnsi="宋体" w:cs="宋体"/>
          <w:color w:val="auto"/>
          <w:sz w:val="24"/>
          <w:highlight w:val="none"/>
        </w:rPr>
      </w:r>
      <w:r/>
    </w:p>
    <w:p>
      <w:pPr>
        <w:ind w:firstLine="504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spacing w:line="480" w:lineRule="exact"/>
        <w:rPr>
          <w:rFonts w:ascii="宋体" w:hAnsi="宋体" w:cs="宋体"/>
          <w:color w:val="auto"/>
          <w:sz w:val="30"/>
          <w:szCs w:val="30"/>
          <w:highlight w:val="none"/>
          <w:lang w:eastAsia="zh-CN"/>
        </w:rPr>
      </w:pPr>
      <w:r>
        <w:rPr>
          <w:rFonts w:hint="eastAsia" w:ascii="宋体" w:hAnsi="宋体" w:cs="宋体"/>
          <w:bCs/>
          <w:color w:val="auto"/>
          <w:szCs w:val="24"/>
          <w:highlight w:val="none"/>
          <w:lang w:eastAsia="zh-CN"/>
        </w:rPr>
        <w:t xml:space="preserve">                           日  期：</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5.该产品的关键工序要求实施前，“关键工序”栏可不填，下同。</w:t>
      </w:r>
      <w:r/>
    </w:p>
    <w:p>
      <w:pPr>
        <w:pStyle w:val="914"/>
        <w:ind w:firstLine="600"/>
        <w:spacing w:before="30" w:beforeAutospacing="0" w:after="30" w:afterAutospacing="0"/>
        <w:shd w:val="clear" w:color="auto" w:fill="ffffff"/>
        <w:rPr>
          <w:color w:val="auto"/>
          <w:sz w:val="30"/>
          <w:szCs w:val="30"/>
          <w:highlight w:val="none"/>
          <w:lang w:eastAsia="zh-CN"/>
        </w:rPr>
        <w:pBdr>
          <w:top w:val="none" w:color="000000" w:sz="0" w:space="0"/>
          <w:left w:val="none" w:color="000000" w:sz="0" w:space="0"/>
          <w:bottom w:val="none" w:color="000000" w:sz="0" w:space="0"/>
          <w:right w:val="none" w:color="000000" w:sz="0" w:space="0"/>
        </w:pBdr>
      </w:pPr>
      <w:r>
        <w:rPr>
          <w:color w:val="auto"/>
          <w:sz w:val="30"/>
          <w:szCs w:val="30"/>
          <w:highlight w:val="none"/>
          <w:lang w:eastAsia="zh-CN"/>
        </w:rPr>
      </w:r>
      <w:r/>
    </w:p>
    <w:p>
      <w:pPr>
        <w:pStyle w:val="914"/>
        <w:ind w:firstLine="560"/>
        <w:jc w:val="center"/>
        <w:spacing w:before="30" w:beforeAutospacing="0" w:after="30" w:afterAutospacing="0"/>
        <w:shd w:val="clear" w:color="auto" w:fill="ffffff"/>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8"/>
          <w:szCs w:val="28"/>
          <w:highlight w:val="none"/>
          <w:lang w:eastAsia="zh-CN"/>
        </w:rPr>
        <w:t xml:space="preserve">中国境内生产的组件成本核算基本规则</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一、产品的一级组件是指直接组成产品的组件。产品的二级组件是指直接组成产品一级组件的组件。一级组件不可分解的，视同二级组件。</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二、二级组件在中国境内生产的，其全部成本计入中国境内生产的组件成本；二级组件不在中国境内生产的，其成本不计入中国境内生产的组件成本。</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三、产品总成本和组件成本以相关会计核算数据、采购合同、进货记录等为基础进行计算。</w:t>
      </w:r>
      <w:r/>
    </w:p>
    <w:p>
      <w:pPr>
        <w:pStyle w:val="914"/>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四、需要对成本核算规则予以进一步明确的其他有关事项，由财政部会同有关部门另行规定。</w:t>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line="240" w:lineRule="auto"/>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（十） 服务承诺（格式）：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widowControl w:val="off"/>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spacing w:line="240" w:lineRule="auto"/>
        <w:rPr>
          <w:rFonts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（十一） 偏离表（格式）：</w:t>
      </w:r>
      <w:r/>
    </w:p>
    <w:p>
      <w:pPr>
        <w:ind w:firstLine="0"/>
        <w:jc w:val="center"/>
        <w:spacing w:line="240" w:lineRule="auto"/>
        <w:widowControl w:val="off"/>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偏离表</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860"/>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r>
    </w:tbl>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r/>
    </w:p>
    <w:p>
      <w:pPr>
        <w:ind w:firstLine="566"/>
        <w:rPr>
          <w:rFonts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 xml:space="preserve">。</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rPr>
        <w:t xml:space="preserve">（十二）</w:t>
      </w:r>
      <w:r>
        <w:rPr>
          <w:rFonts w:hint="eastAsia" w:ascii="宋体" w:hAnsi="宋体" w:cs="宋体"/>
          <w:b/>
          <w:color w:val="auto"/>
          <w:szCs w:val="24"/>
          <w:highlight w:val="none"/>
          <w:lang w:eastAsia="zh-CN" w:bidi="ar"/>
        </w:rPr>
        <w:t xml:space="preserve">供应商情况表（格式）：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shd w:val="clear" w:color="auto" w:fill="ffffff"/>
        <w:rPr>
          <w:rFonts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 xml:space="preserve">供应商情况表</w:t>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9"/>
        <w:gridCol w:w="2700"/>
        <w:gridCol w:w="1960"/>
        <w:gridCol w:w="1889"/>
      </w:tblGrid>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法定代表人</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成立日期</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企业地址</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注册资本</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经营范围</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开户行</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银行账号</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资产总计</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总资产</w:t>
            </w:r>
            <w:r/>
          </w:p>
        </w:tc>
        <w:tc>
          <w:tcPr>
            <w:tcW w:w="1889"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股东权益</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主营收入</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实现利润</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社保缴纳人数</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经营面积</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平方米</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其中：</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自有面积</w:t>
            </w:r>
            <w:r/>
          </w:p>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承租面积</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单位建立及内设机构情况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单位优势及特长</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近三年来完成或正在</w:t>
            </w:r>
            <w:r>
              <w:rPr>
                <w:rFonts w:hint="eastAsia" w:ascii="宋体" w:hAnsi="宋体" w:cs="宋体"/>
                <w:color w:val="auto"/>
                <w:szCs w:val="24"/>
                <w:highlight w:val="none"/>
                <w:shd w:val="clear" w:color="auto" w:fill="ffffff"/>
                <w:lang w:val="en-US" w:eastAsia="zh-CN" w:bidi="ar"/>
              </w:rPr>
              <w:t xml:space="preserve">履行</w:t>
            </w:r>
            <w:r>
              <w:rPr>
                <w:rFonts w:hint="eastAsia" w:ascii="宋体" w:hAnsi="宋体" w:cs="宋体"/>
                <w:color w:val="auto"/>
                <w:szCs w:val="24"/>
                <w:highlight w:val="none"/>
                <w:shd w:val="clear" w:color="auto" w:fill="ffffff"/>
                <w:lang w:eastAsia="zh-CN" w:bidi="ar"/>
              </w:rPr>
              <w:t xml:space="preserve">的重大合同情况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最近2年内在经营过程中受到何种奖励或处分</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（包括财政、工伤、税务、物价、技监部门稽查情况及结果）</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最近3年内有无因售假、售劣或是其他原因被消费者投诉或起诉的情况及说明</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（包括解决方式和结果）</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参加政府采购活动前三年内，在经营活动中有无重大违法记录情况及说明</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获得技术认证的工程师及简介</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其他需要说明的情况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bl>
    <w:p>
      <w:pPr>
        <w:ind w:firstLine="0"/>
        <w:spacing w:line="240" w:lineRule="auto"/>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 xml:space="preserve">（十三）</w:t>
      </w:r>
      <w:r>
        <w:rPr>
          <w:rFonts w:hint="eastAsia" w:ascii="宋体" w:hAnsi="宋体" w:cs="宋体"/>
          <w:b/>
          <w:color w:val="auto"/>
          <w:szCs w:val="24"/>
          <w:highlight w:val="none"/>
          <w:lang w:eastAsia="zh-CN"/>
        </w:rPr>
        <w:t xml:space="preserve">供应商近年来已完成类似业绩一览表</w:t>
      </w:r>
      <w:r>
        <w:rPr>
          <w:rFonts w:hint="eastAsia" w:ascii="宋体" w:hAnsi="宋体" w:cs="宋体"/>
          <w:b/>
          <w:color w:val="auto"/>
          <w:szCs w:val="24"/>
          <w:highlight w:val="none"/>
          <w:lang w:eastAsia="zh-CN" w:bidi="ar"/>
        </w:rPr>
        <w:t xml:space="preserve">（格式）：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 xml:space="preserve">供应商近年已完成类似业绩一览表</w:t>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ascii="黑体" w:hAnsi="黑体" w:eastAsia="黑体" w:cs="黑体"/>
          <w:b/>
          <w:color w:val="auto"/>
          <w:sz w:val="28"/>
          <w:szCs w:val="28"/>
          <w:highlight w:val="none"/>
          <w:lang w:eastAsia="zh-CN"/>
        </w:rPr>
      </w:r>
      <w:r/>
    </w:p>
    <w:p>
      <w:pPr>
        <w:numPr>
          <w:ilvl w:val="255"/>
          <w:numId w:val="0"/>
        </w:numPr>
        <w:shd w:val="clear" w:color="auto" w:fill="ffffff"/>
        <w:rPr>
          <w:rFonts w:ascii="宋体" w:hAnsi="宋体" w:cs="宋体"/>
          <w:color w:val="auto"/>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1689"/>
        <w:gridCol w:w="1690"/>
        <w:gridCol w:w="1690"/>
        <w:gridCol w:w="1690"/>
        <w:gridCol w:w="1690"/>
      </w:tblGrid>
      <w:tr>
        <w:trPr/>
        <w:tc>
          <w:tcPr>
            <w:tcW w:w="1689"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序号</w:t>
            </w:r>
            <w:r/>
          </w:p>
        </w:tc>
        <w:tc>
          <w:tcPr>
            <w:tcW w:w="1689"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项目名称</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采购人</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合同金额</w:t>
            </w:r>
            <w:r/>
          </w:p>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合同签订日期</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概况</w:t>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1</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3</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4</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5</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bl>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widowControl w:val="off"/>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（十四）技术方案（详见评分标准）</w:t>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widowControl w:val="off"/>
        <w:rPr>
          <w:rFonts w:ascii="宋体" w:hAnsi="宋体" w:cs="Times New Roman"/>
          <w:bCs/>
          <w:color w:val="auto"/>
          <w:szCs w:val="24"/>
          <w:highlight w:val="none"/>
          <w:lang w:eastAsia="zh-CN"/>
        </w:rPr>
        <w:sectPr>
          <w:footnotePr/>
          <w:endnotePr/>
          <w:type w:val="nextPage"/>
          <w:pgSz w:w="11906" w:h="16838" w:orient="portrait"/>
          <w:pgMar w:top="1440" w:right="992" w:bottom="1440" w:left="992" w:header="624" w:footer="907" w:gutter="0"/>
          <w:cols w:num="1" w:sep="0" w:space="1701" w:equalWidth="1"/>
          <w:docGrid w:linePitch="360"/>
          <w:titlePg/>
        </w:sect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宋体"/>
          <w:b/>
          <w:color w:val="auto"/>
          <w:szCs w:val="24"/>
          <w:highlight w:val="none"/>
          <w:lang w:eastAsia="zh-CN"/>
        </w:rPr>
      </w:pPr>
      <w:r/>
      <w:bookmarkStart w:id="38" w:name="_Toc112006949"/>
      <w:r>
        <w:rPr>
          <w:rFonts w:hint="eastAsia" w:ascii="宋体" w:hAnsi="宋体" w:cs="宋体"/>
          <w:b/>
          <w:color w:val="auto"/>
          <w:szCs w:val="24"/>
          <w:highlight w:val="none"/>
          <w:lang w:eastAsia="zh-CN"/>
        </w:rPr>
        <w:t xml:space="preserve">（十五）（供应商）其他材料</w:t>
      </w:r>
      <w:bookmarkEnd w:id="38"/>
      <w:r>
        <w:rPr>
          <w:rFonts w:hint="eastAsia" w:ascii="宋体" w:hAnsi="宋体" w:cs="宋体"/>
          <w:b/>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96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供应商认为有必要提供的声明和文件，如有自拟并自行添加。</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44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日期：     年  月   日</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汉仪书宋二S">
    <w:panose1 w:val="020B0503020202020204"/>
  </w:font>
  <w:font w:name="Symbol">
    <w:panose1 w:val="05050102010706020507"/>
  </w:font>
  <w:font w:name="Wingdings">
    <w:panose1 w:val="05000000000000000000"/>
  </w:font>
  <w:font w:name="华文楷体">
    <w:panose1 w:val="02010600040101010101"/>
  </w:font>
  <w:font w:name="Cambria">
    <w:panose1 w:val="02040503050406030204"/>
  </w:font>
  <w:font w:name="Calibri">
    <w:panose1 w:val="020F0502020204030204"/>
  </w:font>
  <w:font w:name="等线">
    <w:panose1 w:val="0201060003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49747" cy="19715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449746" cy="197150"/>
                      </a:xfrm>
                      <a:prstGeom prst="rect">
                        <a:avLst/>
                      </a:prstGeom>
                      <a:noFill/>
                      <a:ln w="6350">
                        <a:noFill/>
                      </a:ln>
                      <a:effectLst/>
                    </wps:spPr>
                    <wps:txbx>
                      <w:txbxContent>
                        <w:p>
                          <w:pPr>
                            <w:pStyle w:val="868"/>
                            <w:ind w:firstLine="36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5.4pt;height:15.5pt;mso-wrap-distance-left:9.0pt;mso-wrap-distance-top:0.0pt;mso-wrap-distance-right:9.0pt;mso-wrap-distance-bottom:0.0pt;v-text-anchor:top;visibility:visible;" filled="f" stroked="f" strokeweight="0.50pt">
              <v:textbox inset="0,0,0,0">
                <w:txbxContent>
                  <w:p>
                    <w:pPr>
                      <w:pStyle w:val="868"/>
                      <w:ind w:firstLine="36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868"/>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0"/>
  </w:num>
  <w:num w:numId="5">
    <w:abstractNumId w:val="6"/>
  </w:num>
  <w:num w:numId="6">
    <w:abstractNumId w:val="8"/>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9"/>
    <w:link w:val="855"/>
    <w:uiPriority w:val="9"/>
    <w:rPr>
      <w:rFonts w:ascii="Arial" w:hAnsi="Arial" w:eastAsia="Arial" w:cs="Arial"/>
      <w:sz w:val="40"/>
      <w:szCs w:val="40"/>
    </w:rPr>
  </w:style>
  <w:style w:type="character" w:styleId="15">
    <w:name w:val="Heading 2 Char"/>
    <w:basedOn w:val="859"/>
    <w:link w:val="856"/>
    <w:uiPriority w:val="9"/>
    <w:rPr>
      <w:rFonts w:ascii="Arial" w:hAnsi="Arial" w:eastAsia="Arial" w:cs="Arial"/>
      <w:sz w:val="34"/>
    </w:rPr>
  </w:style>
  <w:style w:type="character" w:styleId="17">
    <w:name w:val="Heading 3 Char"/>
    <w:basedOn w:val="859"/>
    <w:link w:val="857"/>
    <w:uiPriority w:val="9"/>
    <w:rPr>
      <w:rFonts w:ascii="Arial" w:hAnsi="Arial" w:eastAsia="Arial" w:cs="Arial"/>
      <w:sz w:val="30"/>
      <w:szCs w:val="30"/>
    </w:rPr>
  </w:style>
  <w:style w:type="character" w:styleId="19">
    <w:name w:val="Heading 4 Char"/>
    <w:basedOn w:val="859"/>
    <w:link w:val="858"/>
    <w:uiPriority w:val="9"/>
    <w:rPr>
      <w:rFonts w:ascii="Arial" w:hAnsi="Arial" w:eastAsia="Arial" w:cs="Arial"/>
      <w:b/>
      <w:bCs/>
      <w:sz w:val="26"/>
      <w:szCs w:val="26"/>
    </w:rPr>
  </w:style>
  <w:style w:type="paragraph" w:styleId="20">
    <w:name w:val="Heading 5"/>
    <w:basedOn w:val="854"/>
    <w:next w:val="8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59"/>
    <w:link w:val="20"/>
    <w:uiPriority w:val="9"/>
    <w:rPr>
      <w:rFonts w:ascii="Arial" w:hAnsi="Arial" w:eastAsia="Arial" w:cs="Arial"/>
      <w:b/>
      <w:bCs/>
      <w:sz w:val="24"/>
      <w:szCs w:val="24"/>
    </w:rPr>
  </w:style>
  <w:style w:type="paragraph" w:styleId="22">
    <w:name w:val="Heading 6"/>
    <w:basedOn w:val="854"/>
    <w:next w:val="8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59"/>
    <w:link w:val="22"/>
    <w:uiPriority w:val="9"/>
    <w:rPr>
      <w:rFonts w:ascii="Arial" w:hAnsi="Arial" w:eastAsia="Arial" w:cs="Arial"/>
      <w:b/>
      <w:bCs/>
      <w:sz w:val="22"/>
      <w:szCs w:val="22"/>
    </w:rPr>
  </w:style>
  <w:style w:type="paragraph" w:styleId="24">
    <w:name w:val="Heading 7"/>
    <w:basedOn w:val="854"/>
    <w:next w:val="8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9"/>
    <w:link w:val="24"/>
    <w:uiPriority w:val="9"/>
    <w:rPr>
      <w:rFonts w:ascii="Arial" w:hAnsi="Arial" w:eastAsia="Arial" w:cs="Arial"/>
      <w:b/>
      <w:bCs/>
      <w:i/>
      <w:iCs/>
      <w:sz w:val="22"/>
      <w:szCs w:val="22"/>
    </w:rPr>
  </w:style>
  <w:style w:type="paragraph" w:styleId="26">
    <w:name w:val="Heading 8"/>
    <w:basedOn w:val="854"/>
    <w:next w:val="8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9"/>
    <w:link w:val="26"/>
    <w:uiPriority w:val="9"/>
    <w:rPr>
      <w:rFonts w:ascii="Arial" w:hAnsi="Arial" w:eastAsia="Arial" w:cs="Arial"/>
      <w:i/>
      <w:iCs/>
      <w:sz w:val="22"/>
      <w:szCs w:val="22"/>
    </w:rPr>
  </w:style>
  <w:style w:type="paragraph" w:styleId="28">
    <w:name w:val="Heading 9"/>
    <w:basedOn w:val="854"/>
    <w:next w:val="8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59"/>
    <w:link w:val="28"/>
    <w:uiPriority w:val="9"/>
    <w:rPr>
      <w:rFonts w:ascii="Arial" w:hAnsi="Arial" w:eastAsia="Arial" w:cs="Arial"/>
      <w:i/>
      <w:iCs/>
      <w:sz w:val="21"/>
      <w:szCs w:val="21"/>
    </w:r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59"/>
    <w:link w:val="33"/>
    <w:uiPriority w:val="10"/>
    <w:rPr>
      <w:sz w:val="48"/>
      <w:szCs w:val="48"/>
    </w:rPr>
  </w:style>
  <w:style w:type="paragraph" w:styleId="35">
    <w:name w:val="Subtitle"/>
    <w:basedOn w:val="854"/>
    <w:next w:val="854"/>
    <w:link w:val="36"/>
    <w:uiPriority w:val="11"/>
    <w:qFormat/>
    <w:pPr>
      <w:spacing w:before="200" w:after="200"/>
    </w:pPr>
    <w:rPr>
      <w:sz w:val="24"/>
      <w:szCs w:val="24"/>
    </w:rPr>
  </w:style>
  <w:style w:type="character" w:styleId="36">
    <w:name w:val="Subtitle Char"/>
    <w:basedOn w:val="859"/>
    <w:link w:val="35"/>
    <w:uiPriority w:val="11"/>
    <w:rPr>
      <w:sz w:val="24"/>
      <w:szCs w:val="24"/>
    </w:rPr>
  </w:style>
  <w:style w:type="paragraph" w:styleId="37">
    <w:name w:val="Quote"/>
    <w:basedOn w:val="854"/>
    <w:next w:val="854"/>
    <w:link w:val="38"/>
    <w:uiPriority w:val="29"/>
    <w:qFormat/>
    <w:pPr>
      <w:ind w:left="720" w:right="720"/>
    </w:pPr>
    <w:rPr>
      <w:i/>
    </w:rPr>
  </w:style>
  <w:style w:type="character" w:styleId="38">
    <w:name w:val="Quote Char"/>
    <w:link w:val="37"/>
    <w:uiPriority w:val="29"/>
    <w:rPr>
      <w:i/>
    </w:rPr>
  </w:style>
  <w:style w:type="paragraph" w:styleId="39">
    <w:name w:val="Intense Quote"/>
    <w:basedOn w:val="854"/>
    <w:next w:val="8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9"/>
    <w:link w:val="869"/>
    <w:uiPriority w:val="99"/>
  </w:style>
  <w:style w:type="character" w:styleId="44">
    <w:name w:val="Footer Char"/>
    <w:basedOn w:val="859"/>
    <w:link w:val="868"/>
    <w:uiPriority w:val="99"/>
  </w:style>
  <w:style w:type="paragraph" w:styleId="45">
    <w:name w:val="Caption"/>
    <w:basedOn w:val="854"/>
    <w:next w:val="854"/>
    <w:uiPriority w:val="35"/>
    <w:semiHidden/>
    <w:unhideWhenUsed/>
    <w:qFormat/>
    <w:pPr>
      <w:spacing w:line="276" w:lineRule="auto"/>
    </w:pPr>
    <w:rPr>
      <w:b/>
      <w:bCs/>
      <w:color w:val="4f81bd" w:themeColor="accent1"/>
      <w:sz w:val="18"/>
      <w:szCs w:val="18"/>
    </w:rPr>
  </w:style>
  <w:style w:type="character" w:styleId="46">
    <w:name w:val="Caption Char"/>
    <w:basedOn w:val="45"/>
    <w:link w:val="868"/>
    <w:uiPriority w:val="99"/>
  </w:style>
  <w:style w:type="table" w:styleId="48">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9"/>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9"/>
    <w:uiPriority w:val="99"/>
    <w:semiHidden/>
    <w:unhideWhenUsed/>
    <w:rPr>
      <w:vertAlign w:val="superscript"/>
    </w:rPr>
  </w:style>
  <w:style w:type="paragraph" w:styleId="183">
    <w:name w:val="toc 4"/>
    <w:basedOn w:val="854"/>
    <w:next w:val="854"/>
    <w:uiPriority w:val="39"/>
    <w:unhideWhenUsed/>
    <w:pPr>
      <w:ind w:left="850" w:right="0" w:firstLine="0"/>
      <w:spacing w:after="57"/>
    </w:pPr>
  </w:style>
  <w:style w:type="paragraph" w:styleId="184">
    <w:name w:val="toc 5"/>
    <w:basedOn w:val="854"/>
    <w:next w:val="854"/>
    <w:uiPriority w:val="39"/>
    <w:unhideWhenUsed/>
    <w:pPr>
      <w:ind w:left="1134" w:right="0" w:firstLine="0"/>
      <w:spacing w:after="57"/>
    </w:pPr>
  </w:style>
  <w:style w:type="paragraph" w:styleId="185">
    <w:name w:val="toc 6"/>
    <w:basedOn w:val="854"/>
    <w:next w:val="854"/>
    <w:uiPriority w:val="39"/>
    <w:unhideWhenUsed/>
    <w:pPr>
      <w:ind w:left="1417" w:right="0" w:firstLine="0"/>
      <w:spacing w:after="57"/>
    </w:pPr>
  </w:style>
  <w:style w:type="paragraph" w:styleId="186">
    <w:name w:val="toc 7"/>
    <w:basedOn w:val="854"/>
    <w:next w:val="854"/>
    <w:uiPriority w:val="39"/>
    <w:unhideWhenUsed/>
    <w:pPr>
      <w:ind w:left="1701" w:right="0" w:firstLine="0"/>
      <w:spacing w:after="57"/>
    </w:pPr>
  </w:style>
  <w:style w:type="paragraph" w:styleId="187">
    <w:name w:val="toc 8"/>
    <w:basedOn w:val="854"/>
    <w:next w:val="854"/>
    <w:uiPriority w:val="39"/>
    <w:unhideWhenUsed/>
    <w:pPr>
      <w:ind w:left="1984" w:right="0" w:firstLine="0"/>
      <w:spacing w:after="57"/>
    </w:pPr>
  </w:style>
  <w:style w:type="paragraph" w:styleId="188">
    <w:name w:val="toc 9"/>
    <w:basedOn w:val="854"/>
    <w:next w:val="8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1"/>
    <w:uiPriority w:val="0"/>
    <w:qFormat/>
    <w:pPr>
      <w:ind w:firstLine="200"/>
      <w:spacing w:line="360" w:lineRule="auto"/>
    </w:pPr>
    <w:rPr>
      <w:rFonts w:ascii="Arial" w:hAnsi="Arial" w:eastAsia="宋体" w:cs="Arial"/>
      <w:color w:val="000000"/>
      <w:sz w:val="24"/>
      <w:szCs w:val="21"/>
      <w:lang w:val="en-US" w:eastAsia="en-US" w:bidi="ar-SA"/>
    </w:rPr>
  </w:style>
  <w:style w:type="paragraph" w:styleId="855">
    <w:name w:val="Heading 1"/>
    <w:basedOn w:val="854"/>
    <w:next w:val="854"/>
    <w:link w:val="880"/>
    <w:uiPriority w:val="9"/>
    <w:qFormat/>
    <w:pPr>
      <w:ind w:firstLine="0"/>
      <w:jc w:val="center"/>
      <w:keepLines/>
      <w:keepNext/>
      <w:spacing w:line="240" w:lineRule="auto"/>
      <w:outlineLvl w:val="0"/>
    </w:pPr>
    <w:rPr>
      <w:rFonts w:eastAsia="黑体"/>
      <w:b/>
      <w:bCs/>
      <w:sz w:val="36"/>
      <w:szCs w:val="44"/>
    </w:rPr>
  </w:style>
  <w:style w:type="paragraph" w:styleId="856">
    <w:name w:val="Heading 2"/>
    <w:basedOn w:val="854"/>
    <w:next w:val="854"/>
    <w:link w:val="883"/>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57">
    <w:name w:val="Heading 3"/>
    <w:basedOn w:val="854"/>
    <w:next w:val="854"/>
    <w:link w:val="884"/>
    <w:uiPriority w:val="9"/>
    <w:unhideWhenUsed/>
    <w:qFormat/>
    <w:pPr>
      <w:ind w:firstLine="0"/>
      <w:keepLines/>
      <w:keepNext/>
      <w:spacing w:line="240" w:lineRule="auto"/>
      <w:outlineLvl w:val="2"/>
    </w:pPr>
    <w:rPr>
      <w:bCs/>
      <w:sz w:val="32"/>
      <w:szCs w:val="32"/>
    </w:rPr>
  </w:style>
  <w:style w:type="paragraph" w:styleId="858">
    <w:name w:val="Heading 4"/>
    <w:basedOn w:val="854"/>
    <w:next w:val="854"/>
    <w:link w:val="885"/>
    <w:uiPriority w:val="9"/>
    <w:unhideWhenUsed/>
    <w:qFormat/>
    <w:pPr>
      <w:ind w:firstLine="0"/>
      <w:keepLines/>
      <w:keepNext/>
      <w:spacing w:before="120"/>
      <w:outlineLvl w:val="3"/>
    </w:pPr>
    <w:rPr>
      <w:rFonts w:asciiTheme="majorHAnsi" w:hAnsiTheme="majorHAnsi" w:cstheme="majorBidi"/>
      <w:b/>
      <w:bCs/>
      <w:sz w:val="28"/>
      <w:szCs w:val="28"/>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Body Text"/>
    <w:basedOn w:val="854"/>
    <w:next w:val="854"/>
    <w:link w:val="918"/>
    <w:uiPriority w:val="0"/>
    <w:semiHidden/>
    <w:qFormat/>
    <w:pPr>
      <w:ind w:firstLine="0"/>
      <w:spacing w:line="240" w:lineRule="auto"/>
    </w:pPr>
    <w:rPr>
      <w:rFonts w:eastAsia="Arial"/>
      <w:sz w:val="21"/>
    </w:rPr>
  </w:style>
  <w:style w:type="paragraph" w:styleId="862">
    <w:name w:val="annotation text"/>
    <w:basedOn w:val="854"/>
    <w:link w:val="924"/>
    <w:uiPriority w:val="99"/>
    <w:semiHidden/>
    <w:unhideWhenUsed/>
    <w:qFormat/>
  </w:style>
  <w:style w:type="paragraph" w:styleId="863">
    <w:name w:val="Body Text Indent"/>
    <w:basedOn w:val="854"/>
    <w:link w:val="888"/>
    <w:uiPriority w:val="99"/>
    <w:semiHidden/>
    <w:unhideWhenUsed/>
    <w:qFormat/>
    <w:pPr>
      <w:ind w:left="420"/>
      <w:spacing w:after="120"/>
    </w:pPr>
  </w:style>
  <w:style w:type="paragraph" w:styleId="864">
    <w:name w:val="index 4"/>
    <w:basedOn w:val="854"/>
    <w:next w:val="854"/>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865">
    <w:name w:val="toc 3"/>
    <w:basedOn w:val="854"/>
    <w:next w:val="854"/>
    <w:uiPriority w:val="39"/>
    <w:unhideWhenUsed/>
    <w:qFormat/>
    <w:pPr>
      <w:ind w:left="840"/>
    </w:pPr>
  </w:style>
  <w:style w:type="paragraph" w:styleId="866">
    <w:name w:val="Plain Text"/>
    <w:basedOn w:val="854"/>
    <w:link w:val="920"/>
    <w:uiPriority w:val="0"/>
    <w:qFormat/>
    <w:pPr>
      <w:ind w:firstLine="0"/>
      <w:jc w:val="both"/>
      <w:spacing w:line="240" w:lineRule="auto"/>
      <w:widowControl w:val="off"/>
    </w:pPr>
    <w:rPr>
      <w:rFonts w:ascii="宋体" w:hAnsi="Courier New" w:cs="Courier New"/>
      <w:color w:val="161616"/>
      <w:sz w:val="21"/>
      <w:lang w:eastAsia="zh-CN"/>
    </w:rPr>
  </w:style>
  <w:style w:type="paragraph" w:styleId="867">
    <w:name w:val="Balloon Text"/>
    <w:basedOn w:val="854"/>
    <w:link w:val="893"/>
    <w:uiPriority w:val="99"/>
    <w:semiHidden/>
    <w:unhideWhenUsed/>
    <w:qFormat/>
    <w:pPr>
      <w:spacing w:line="240" w:lineRule="auto"/>
    </w:pPr>
    <w:rPr>
      <w:sz w:val="18"/>
      <w:szCs w:val="18"/>
    </w:rPr>
  </w:style>
  <w:style w:type="paragraph" w:styleId="868">
    <w:name w:val="Footer"/>
    <w:basedOn w:val="854"/>
    <w:link w:val="879"/>
    <w:uiPriority w:val="99"/>
    <w:unhideWhenUsed/>
    <w:qFormat/>
    <w:pPr>
      <w:tabs>
        <w:tab w:val="center" w:pos="4153" w:leader="none"/>
        <w:tab w:val="right" w:pos="8306" w:leader="none"/>
      </w:tabs>
    </w:pPr>
    <w:rPr>
      <w:sz w:val="18"/>
      <w:szCs w:val="18"/>
    </w:rPr>
  </w:style>
  <w:style w:type="paragraph" w:styleId="869">
    <w:name w:val="Header"/>
    <w:basedOn w:val="854"/>
    <w:link w:val="878"/>
    <w:uiPriority w:val="99"/>
    <w:unhideWhenUsed/>
    <w:qFormat/>
    <w:pPr>
      <w:jc w:val="center"/>
      <w:tabs>
        <w:tab w:val="center" w:pos="4153" w:leader="none"/>
        <w:tab w:val="right" w:pos="8306" w:leader="none"/>
      </w:tabs>
    </w:pPr>
    <w:rPr>
      <w:sz w:val="18"/>
      <w:szCs w:val="18"/>
    </w:rPr>
  </w:style>
  <w:style w:type="paragraph" w:styleId="870">
    <w:name w:val="toc 1"/>
    <w:basedOn w:val="854"/>
    <w:next w:val="854"/>
    <w:uiPriority w:val="39"/>
    <w:unhideWhenUsed/>
    <w:qFormat/>
    <w:pPr>
      <w:ind w:firstLine="0"/>
      <w:tabs>
        <w:tab w:val="right" w:pos="8890" w:leader="dot"/>
      </w:tabs>
    </w:pPr>
  </w:style>
  <w:style w:type="paragraph" w:styleId="871">
    <w:name w:val="toc 2"/>
    <w:basedOn w:val="854"/>
    <w:next w:val="854"/>
    <w:uiPriority w:val="39"/>
    <w:unhideWhenUsed/>
    <w:qFormat/>
    <w:pPr>
      <w:ind w:left="420"/>
    </w:pPr>
  </w:style>
  <w:style w:type="paragraph" w:styleId="872">
    <w:name w:val="Normal (Web)"/>
    <w:basedOn w:val="854"/>
    <w:uiPriority w:val="99"/>
    <w:qFormat/>
    <w:pPr>
      <w:spacing w:before="100" w:beforeAutospacing="1" w:after="100" w:afterAutospacing="1"/>
    </w:pPr>
    <w:rPr>
      <w:rFonts w:ascii="宋体" w:hAnsi="宋体" w:cs="宋体"/>
      <w:szCs w:val="24"/>
    </w:rPr>
  </w:style>
  <w:style w:type="paragraph" w:styleId="873">
    <w:name w:val="annotation subject"/>
    <w:basedOn w:val="862"/>
    <w:next w:val="862"/>
    <w:link w:val="925"/>
    <w:uiPriority w:val="99"/>
    <w:semiHidden/>
    <w:unhideWhenUsed/>
    <w:qFormat/>
    <w:rPr>
      <w:b/>
      <w:bCs/>
    </w:rPr>
  </w:style>
  <w:style w:type="table" w:styleId="874">
    <w:name w:val="Table Grid"/>
    <w:basedOn w:val="86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basedOn w:val="859"/>
    <w:uiPriority w:val="22"/>
    <w:qFormat/>
    <w:rPr>
      <w:b/>
    </w:rPr>
  </w:style>
  <w:style w:type="character" w:styleId="876">
    <w:name w:val="Hyperlink"/>
    <w:basedOn w:val="859"/>
    <w:uiPriority w:val="99"/>
    <w:unhideWhenUsed/>
    <w:qFormat/>
    <w:rPr>
      <w:color w:val="0563c1" w:themeColor="hyperlink"/>
      <w:u w:val="single"/>
      <w14:textFill>
        <w14:solidFill>
          <w14:schemeClr w14:val="hlink"/>
        </w14:solidFill>
      </w14:textFill>
    </w:rPr>
  </w:style>
  <w:style w:type="character" w:styleId="877">
    <w:name w:val="annotation reference"/>
    <w:basedOn w:val="859"/>
    <w:uiPriority w:val="99"/>
    <w:semiHidden/>
    <w:unhideWhenUsed/>
    <w:qFormat/>
    <w:rPr>
      <w:sz w:val="21"/>
      <w:szCs w:val="21"/>
    </w:rPr>
  </w:style>
  <w:style w:type="character" w:styleId="878" w:customStyle="1">
    <w:name w:val="页眉 字符1"/>
    <w:basedOn w:val="859"/>
    <w:link w:val="869"/>
    <w:uiPriority w:val="99"/>
    <w:qFormat/>
    <w:rPr>
      <w:sz w:val="18"/>
      <w:szCs w:val="18"/>
    </w:rPr>
  </w:style>
  <w:style w:type="character" w:styleId="879" w:customStyle="1">
    <w:name w:val="页脚 字符"/>
    <w:basedOn w:val="859"/>
    <w:link w:val="868"/>
    <w:uiPriority w:val="99"/>
    <w:qFormat/>
    <w:rPr>
      <w:sz w:val="18"/>
      <w:szCs w:val="18"/>
    </w:rPr>
  </w:style>
  <w:style w:type="character" w:styleId="880" w:customStyle="1">
    <w:name w:val="标题 1 字符"/>
    <w:basedOn w:val="859"/>
    <w:link w:val="855"/>
    <w:uiPriority w:val="9"/>
    <w:qFormat/>
    <w:rPr>
      <w:rFonts w:ascii="Arial" w:hAnsi="Arial" w:eastAsia="黑体" w:cs="Arial"/>
      <w:b/>
      <w:bCs/>
      <w:color w:val="000000"/>
      <w:sz w:val="36"/>
      <w:szCs w:val="44"/>
      <w:lang w:eastAsia="en-US"/>
    </w:rPr>
  </w:style>
  <w:style w:type="paragraph" w:styleId="881">
    <w:name w:val="List Paragraph"/>
    <w:basedOn w:val="854"/>
    <w:uiPriority w:val="34"/>
    <w:qFormat/>
    <w:pPr>
      <w:ind w:left="360" w:firstLine="0"/>
      <w:jc w:val="center"/>
    </w:pPr>
  </w:style>
  <w:style w:type="character" w:styleId="882" w:customStyle="1">
    <w:name w:val="正文文本 Char"/>
    <w:basedOn w:val="859"/>
    <w:uiPriority w:val="0"/>
    <w:semiHidden/>
    <w:qFormat/>
    <w:rPr>
      <w:rFonts w:ascii="Arial" w:hAnsi="Arial" w:eastAsia="Arial" w:cs="Arial"/>
      <w:color w:val="000000"/>
      <w:szCs w:val="21"/>
      <w:lang w:eastAsia="en-US"/>
    </w:rPr>
  </w:style>
  <w:style w:type="character" w:styleId="883" w:customStyle="1">
    <w:name w:val="标题 2 字符"/>
    <w:basedOn w:val="859"/>
    <w:link w:val="856"/>
    <w:uiPriority w:val="9"/>
    <w:qFormat/>
    <w:rPr>
      <w:rFonts w:eastAsia="宋体" w:asciiTheme="majorHAnsi" w:hAnsiTheme="majorHAnsi" w:cstheme="majorBidi"/>
      <w:b/>
      <w:bCs/>
      <w:color w:val="000000"/>
      <w:sz w:val="32"/>
      <w:szCs w:val="32"/>
      <w:lang w:eastAsia="en-US"/>
    </w:rPr>
  </w:style>
  <w:style w:type="character" w:styleId="884" w:customStyle="1">
    <w:name w:val="标题 3 字符"/>
    <w:basedOn w:val="859"/>
    <w:link w:val="857"/>
    <w:uiPriority w:val="9"/>
    <w:qFormat/>
    <w:rPr>
      <w:rFonts w:ascii="Arial" w:hAnsi="Arial" w:eastAsia="宋体" w:cs="Arial"/>
      <w:bCs/>
      <w:color w:val="000000"/>
      <w:sz w:val="32"/>
      <w:szCs w:val="32"/>
      <w:lang w:eastAsia="en-US"/>
    </w:rPr>
  </w:style>
  <w:style w:type="character" w:styleId="885" w:customStyle="1">
    <w:name w:val="标题 4 字符"/>
    <w:basedOn w:val="859"/>
    <w:link w:val="858"/>
    <w:uiPriority w:val="9"/>
    <w:qFormat/>
    <w:rPr>
      <w:rFonts w:eastAsia="宋体" w:asciiTheme="majorHAnsi" w:hAnsiTheme="majorHAnsi" w:cstheme="majorBidi"/>
      <w:b/>
      <w:bCs/>
      <w:color w:val="000000"/>
      <w:sz w:val="28"/>
      <w:szCs w:val="28"/>
      <w:lang w:eastAsia="en-US"/>
    </w:rPr>
  </w:style>
  <w:style w:type="table" w:styleId="886" w:customStyle="1">
    <w:name w:val="Table Normal"/>
    <w:uiPriority w:val="0"/>
    <w:semiHidden/>
    <w:unhideWhenUsed/>
    <w:qFormat/>
    <w:tblPr>
      <w:tblCellMar>
        <w:left w:w="0" w:type="dxa"/>
        <w:top w:w="0" w:type="dxa"/>
        <w:right w:w="0" w:type="dxa"/>
        <w:bottom w:w="0" w:type="dxa"/>
      </w:tblCellMar>
    </w:tblPr>
  </w:style>
  <w:style w:type="paragraph" w:styleId="887" w:customStyle="1">
    <w:name w:val="Table Text"/>
    <w:basedOn w:val="854"/>
    <w:uiPriority w:val="0"/>
    <w:semiHidden/>
    <w:qFormat/>
    <w:pPr>
      <w:ind w:firstLine="0"/>
      <w:spacing w:line="240" w:lineRule="auto"/>
    </w:pPr>
    <w:rPr>
      <w:rFonts w:ascii="宋体" w:hAnsi="宋体" w:cs="宋体"/>
      <w:szCs w:val="24"/>
    </w:rPr>
  </w:style>
  <w:style w:type="character" w:styleId="888" w:customStyle="1">
    <w:name w:val="正文文本缩进 字符"/>
    <w:basedOn w:val="859"/>
    <w:link w:val="863"/>
    <w:uiPriority w:val="99"/>
    <w:semiHidden/>
    <w:qFormat/>
    <w:rPr>
      <w:rFonts w:ascii="Arial" w:hAnsi="Arial" w:eastAsia="宋体" w:cs="Arial"/>
      <w:color w:val="000000"/>
      <w:sz w:val="24"/>
      <w:szCs w:val="21"/>
      <w:lang w:eastAsia="en-US"/>
    </w:rPr>
  </w:style>
  <w:style w:type="character" w:styleId="889" w:customStyle="1">
    <w:name w:val="纯文本 Char"/>
    <w:basedOn w:val="859"/>
    <w:uiPriority w:val="0"/>
    <w:qFormat/>
    <w:rPr>
      <w:rFonts w:ascii="宋体" w:hAnsi="Courier New" w:eastAsia="宋体" w:cs="Courier New"/>
      <w:color w:val="161616"/>
      <w:szCs w:val="21"/>
    </w:rPr>
  </w:style>
  <w:style w:type="paragraph" w:styleId="890" w:customStyle="1">
    <w:name w:val="TOC 标题1"/>
    <w:basedOn w:val="855"/>
    <w:next w:val="854"/>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891">
    <w:name w:val="No Spacing"/>
    <w:uiPriority w:val="1"/>
    <w:qFormat/>
    <w:pPr>
      <w:ind w:firstLine="200"/>
    </w:pPr>
    <w:rPr>
      <w:rFonts w:ascii="Arial" w:hAnsi="Arial" w:eastAsia="宋体" w:cs="Arial"/>
      <w:color w:val="000000"/>
      <w:sz w:val="24"/>
      <w:szCs w:val="21"/>
      <w:lang w:val="en-US" w:eastAsia="en-US" w:bidi="ar-SA"/>
    </w:rPr>
  </w:style>
  <w:style w:type="character" w:styleId="892" w:customStyle="1">
    <w:name w:val="未处理的提及1"/>
    <w:basedOn w:val="859"/>
    <w:uiPriority w:val="99"/>
    <w:semiHidden/>
    <w:unhideWhenUsed/>
    <w:qFormat/>
    <w:rPr>
      <w:color w:val="605e5c"/>
      <w:shd w:val="clear" w:color="auto" w:fill="e1dfdd"/>
    </w:rPr>
  </w:style>
  <w:style w:type="character" w:styleId="893" w:customStyle="1">
    <w:name w:val="批注框文本 字符"/>
    <w:basedOn w:val="859"/>
    <w:link w:val="867"/>
    <w:uiPriority w:val="99"/>
    <w:semiHidden/>
    <w:qFormat/>
    <w:rPr>
      <w:rFonts w:ascii="Arial" w:hAnsi="Arial" w:eastAsia="宋体" w:cs="Arial"/>
      <w:color w:val="000000"/>
      <w:sz w:val="18"/>
      <w:szCs w:val="18"/>
      <w:lang w:eastAsia="en-US"/>
    </w:rPr>
  </w:style>
  <w:style w:type="paragraph" w:styleId="894" w:customStyle="1">
    <w:name w:val="页眉1"/>
    <w:basedOn w:val="854"/>
    <w:link w:val="895"/>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895" w:customStyle="1">
    <w:name w:val="页眉 字符"/>
    <w:link w:val="894"/>
    <w:uiPriority w:val="99"/>
    <w:qFormat/>
    <w:rPr>
      <w:rFonts w:ascii="等线" w:hAnsi="等线" w:eastAsia="等线" w:cs="Times New Roman"/>
      <w:sz w:val="18"/>
      <w:szCs w:val="18"/>
    </w:rPr>
  </w:style>
  <w:style w:type="paragraph" w:styleId="896" w:customStyle="1">
    <w:name w:val="修订1"/>
    <w:hidden/>
    <w:uiPriority w:val="99"/>
    <w:unhideWhenUsed/>
    <w:qFormat/>
    <w:rPr>
      <w:rFonts w:ascii="Arial" w:hAnsi="Arial" w:eastAsia="宋体" w:cs="Arial"/>
      <w:color w:val="000000"/>
      <w:sz w:val="24"/>
      <w:szCs w:val="21"/>
      <w:lang w:val="en-US" w:eastAsia="en-US" w:bidi="ar-SA"/>
    </w:rPr>
  </w:style>
  <w:style w:type="character" w:styleId="897" w:customStyle="1">
    <w:name w:val="font11"/>
    <w:basedOn w:val="859"/>
    <w:uiPriority w:val="0"/>
    <w:qFormat/>
    <w:rPr>
      <w:rFonts w:hint="eastAsia" w:ascii="宋体" w:hAnsi="宋体" w:eastAsia="宋体" w:cs="宋体"/>
      <w:color w:val="000000"/>
      <w:sz w:val="22"/>
      <w:szCs w:val="22"/>
      <w:u w:val="none"/>
    </w:rPr>
  </w:style>
  <w:style w:type="character" w:styleId="898" w:customStyle="1">
    <w:name w:val="font51"/>
    <w:basedOn w:val="859"/>
    <w:uiPriority w:val="0"/>
    <w:qFormat/>
    <w:rPr>
      <w:rFonts w:hint="eastAsia" w:ascii="宋体" w:hAnsi="宋体" w:eastAsia="宋体" w:cs="宋体"/>
      <w:color w:val="ff0000"/>
      <w:sz w:val="22"/>
      <w:szCs w:val="22"/>
      <w:u w:val="none"/>
    </w:rPr>
  </w:style>
  <w:style w:type="character" w:styleId="899" w:customStyle="1">
    <w:name w:val="font01"/>
    <w:basedOn w:val="859"/>
    <w:uiPriority w:val="0"/>
    <w:qFormat/>
    <w:rPr>
      <w:rFonts w:hint="eastAsia" w:ascii="宋体" w:hAnsi="宋体" w:eastAsia="宋体" w:cs="宋体"/>
      <w:color w:val="000000"/>
      <w:sz w:val="22"/>
      <w:szCs w:val="22"/>
      <w:u w:val="none"/>
    </w:rPr>
  </w:style>
  <w:style w:type="character" w:styleId="900" w:customStyle="1">
    <w:name w:val="font61"/>
    <w:basedOn w:val="859"/>
    <w:uiPriority w:val="0"/>
    <w:qFormat/>
    <w:rPr>
      <w:rFonts w:hint="eastAsia" w:ascii="宋体" w:hAnsi="宋体" w:eastAsia="宋体" w:cs="宋体"/>
      <w:b/>
      <w:bCs/>
      <w:color w:val="000000"/>
      <w:sz w:val="22"/>
      <w:szCs w:val="22"/>
      <w:u w:val="none"/>
    </w:rPr>
  </w:style>
  <w:style w:type="character" w:styleId="901" w:customStyle="1">
    <w:name w:val="font41"/>
    <w:basedOn w:val="859"/>
    <w:uiPriority w:val="0"/>
    <w:qFormat/>
    <w:rPr>
      <w:rFonts w:hint="eastAsia" w:ascii="宋体" w:hAnsi="宋体" w:eastAsia="宋体" w:cs="宋体"/>
      <w:color w:val="000000"/>
      <w:sz w:val="24"/>
      <w:szCs w:val="24"/>
      <w:u w:val="none"/>
    </w:rPr>
  </w:style>
  <w:style w:type="character" w:styleId="902" w:customStyle="1">
    <w:name w:val="font91"/>
    <w:basedOn w:val="859"/>
    <w:uiPriority w:val="0"/>
    <w:qFormat/>
    <w:rPr>
      <w:rFonts w:hint="eastAsia" w:ascii="宋体" w:hAnsi="宋体" w:eastAsia="宋体" w:cs="宋体"/>
      <w:color w:val="ff0000"/>
      <w:sz w:val="24"/>
      <w:szCs w:val="24"/>
      <w:u w:val="none"/>
    </w:rPr>
  </w:style>
  <w:style w:type="paragraph" w:styleId="903" w:customStyle="1">
    <w:name w:val="正文1"/>
    <w:basedOn w:val="904"/>
    <w:next w:val="908"/>
    <w:uiPriority w:val="0"/>
    <w:qFormat/>
  </w:style>
  <w:style w:type="paragraph" w:styleId="904" w:customStyle="1">
    <w:name w:val="正文11"/>
    <w:next w:val="905"/>
    <w:uiPriority w:val="0"/>
    <w:qFormat/>
    <w:pPr>
      <w:jc w:val="both"/>
      <w:widowControl w:val="off"/>
    </w:pPr>
    <w:rPr>
      <w:rFonts w:ascii="Times New Roman" w:hAnsi="Times New Roman" w:eastAsia="宋体" w:cs="Times New Roman"/>
      <w:sz w:val="21"/>
      <w:szCs w:val="24"/>
      <w:lang w:val="en-US" w:eastAsia="zh-CN" w:bidi="ar-SA"/>
    </w:rPr>
  </w:style>
  <w:style w:type="paragraph" w:styleId="905" w:customStyle="1">
    <w:name w:val="目录 11"/>
    <w:basedOn w:val="906"/>
    <w:next w:val="904"/>
    <w:uiPriority w:val="0"/>
    <w:qFormat/>
    <w:rPr>
      <w:rFonts w:ascii="Times New Roman" w:hAnsi="Times New Roman" w:eastAsia="宋体"/>
    </w:rPr>
  </w:style>
  <w:style w:type="paragraph" w:styleId="906" w:customStyle="1">
    <w:name w:val="正文12"/>
    <w:next w:val="907"/>
    <w:uiPriority w:val="0"/>
    <w:qFormat/>
    <w:pPr>
      <w:jc w:val="both"/>
      <w:widowControl w:val="off"/>
    </w:pPr>
    <w:rPr>
      <w:rFonts w:ascii="Calibri" w:hAnsi="Calibri" w:eastAsia="Calibri" w:cs="Times New Roman"/>
      <w:sz w:val="21"/>
      <w:szCs w:val="24"/>
      <w:lang w:val="en-US" w:eastAsia="zh-CN" w:bidi="ar-SA"/>
    </w:rPr>
  </w:style>
  <w:style w:type="paragraph" w:styleId="907" w:customStyle="1">
    <w:name w:val="文本块11"/>
    <w:basedOn w:val="906"/>
    <w:uiPriority w:val="0"/>
    <w:qFormat/>
    <w:pPr>
      <w:ind w:left="1440" w:right="1440"/>
      <w:spacing w:after="120"/>
    </w:pPr>
    <w:rPr>
      <w:rFonts w:ascii="Times New Roman" w:hAnsi="Times New Roman" w:eastAsia="宋体"/>
    </w:rPr>
  </w:style>
  <w:style w:type="paragraph" w:styleId="908" w:customStyle="1">
    <w:name w:val="正文文本1"/>
    <w:basedOn w:val="904"/>
    <w:next w:val="909"/>
    <w:uiPriority w:val="0"/>
    <w:qFormat/>
    <w:pPr>
      <w:spacing w:after="120"/>
    </w:pPr>
    <w:rPr>
      <w:rFonts w:ascii="Calibri" w:hAnsi="Calibri"/>
    </w:rPr>
  </w:style>
  <w:style w:type="paragraph" w:styleId="909" w:customStyle="1">
    <w:name w:val="一级条标题"/>
    <w:basedOn w:val="910"/>
    <w:next w:val="91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10" w:customStyle="1">
    <w:name w:val="章标题"/>
    <w:next w:val="90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1" w:customStyle="1">
    <w:name w:val="段"/>
    <w:basedOn w:val="903"/>
    <w:next w:val="854"/>
    <w:uiPriority w:val="0"/>
    <w:qFormat/>
    <w:pPr>
      <w:ind w:firstLine="200"/>
      <w:widowControl/>
    </w:pPr>
    <w:rPr>
      <w:rFonts w:ascii="宋体"/>
      <w:sz w:val="20"/>
      <w:szCs w:val="20"/>
    </w:rPr>
  </w:style>
  <w:style w:type="paragraph" w:styleId="912" w:customStyle="1">
    <w:name w:val="文本块1"/>
    <w:basedOn w:val="903"/>
    <w:next w:val="913"/>
    <w:uiPriority w:val="0"/>
    <w:qFormat/>
    <w:pPr>
      <w:ind w:left="420" w:right="33"/>
      <w:jc w:val="left"/>
    </w:pPr>
    <w:rPr>
      <w:sz w:val="24"/>
      <w:szCs w:val="20"/>
    </w:rPr>
  </w:style>
  <w:style w:type="paragraph" w:styleId="913" w:customStyle="1">
    <w:name w:val="标题 41"/>
    <w:basedOn w:val="906"/>
    <w:next w:val="904"/>
    <w:uiPriority w:val="0"/>
    <w:qFormat/>
    <w:pPr>
      <w:keepLines/>
      <w:keepNext/>
      <w:spacing w:before="280" w:after="290" w:line="376" w:lineRule="auto"/>
      <w:outlineLvl w:val="3"/>
    </w:pPr>
    <w:rPr>
      <w:rFonts w:ascii="Cambria" w:hAnsi="Cambria" w:eastAsia="宋体"/>
      <w:b/>
      <w:bCs/>
      <w:sz w:val="28"/>
      <w:szCs w:val="28"/>
    </w:rPr>
  </w:style>
  <w:style w:type="paragraph" w:styleId="914" w:customStyle="1">
    <w:name w:val="普通(网站)2"/>
    <w:basedOn w:val="854"/>
    <w:uiPriority w:val="0"/>
    <w:qFormat/>
    <w:pPr>
      <w:spacing w:before="100" w:beforeAutospacing="1" w:after="100" w:afterAutospacing="1"/>
    </w:pPr>
    <w:rPr>
      <w:rFonts w:ascii="宋体" w:hAnsi="宋体" w:cs="宋体"/>
      <w:szCs w:val="24"/>
    </w:rPr>
  </w:style>
  <w:style w:type="paragraph" w:styleId="915" w:customStyle="1">
    <w:name w:val="页眉11"/>
    <w:basedOn w:val="854"/>
    <w:uiPriority w:val="0"/>
    <w:qFormat/>
    <w:pPr>
      <w:tabs>
        <w:tab w:val="center" w:pos="7143" w:leader="none"/>
        <w:tab w:val="right" w:pos="14287" w:leader="none"/>
      </w:tabs>
    </w:pPr>
    <w:rPr>
      <w:lang w:eastAsia="zh-CN"/>
    </w:rPr>
  </w:style>
  <w:style w:type="paragraph" w:styleId="916" w:customStyle="1">
    <w:name w:val="页脚11"/>
    <w:basedOn w:val="854"/>
    <w:uiPriority w:val="0"/>
    <w:qFormat/>
    <w:pPr>
      <w:tabs>
        <w:tab w:val="center" w:pos="7143" w:leader="none"/>
        <w:tab w:val="right" w:pos="14287" w:leader="none"/>
      </w:tabs>
    </w:pPr>
    <w:rPr>
      <w:rFonts w:ascii="Times New Roman" w:hAnsi="Times New Roman" w:cs="Times New Roman"/>
    </w:rPr>
  </w:style>
  <w:style w:type="character" w:styleId="917" w:customStyle="1">
    <w:name w:val="页码11"/>
    <w:uiPriority w:val="0"/>
    <w:qFormat/>
    <w:rPr>
      <w:rFonts w:ascii="Arial" w:hAnsi="Arial" w:eastAsia="宋体" w:cs="Arial"/>
      <w:color w:val="000000"/>
      <w:sz w:val="24"/>
      <w:szCs w:val="21"/>
      <w:lang w:val="en-US" w:eastAsia="en-US" w:bidi="ar-SA"/>
    </w:rPr>
  </w:style>
  <w:style w:type="character" w:styleId="918" w:customStyle="1">
    <w:name w:val="正文文本 字符"/>
    <w:basedOn w:val="859"/>
    <w:link w:val="861"/>
    <w:uiPriority w:val="0"/>
    <w:qFormat/>
    <w:rPr>
      <w:rFonts w:hint="eastAsia" w:ascii="宋体" w:hAnsi="宋体" w:eastAsia="宋体" w:cs="宋体"/>
      <w:sz w:val="24"/>
      <w:szCs w:val="24"/>
      <w:lang w:eastAsia="en-US"/>
    </w:rPr>
  </w:style>
  <w:style w:type="paragraph" w:styleId="919" w:customStyle="1">
    <w:name w:val="列出段落1"/>
    <w:basedOn w:val="854"/>
    <w:uiPriority w:val="0"/>
    <w:qFormat/>
    <w:pPr>
      <w:ind w:firstLine="420"/>
      <w:jc w:val="both"/>
      <w:widowControl w:val="off"/>
    </w:pPr>
    <w:rPr>
      <w:rFonts w:ascii="Calibri" w:hAnsi="Calibri" w:cs="Times New Roman"/>
      <w:sz w:val="21"/>
      <w:szCs w:val="22"/>
      <w:lang w:eastAsia="zh-CN"/>
    </w:rPr>
  </w:style>
  <w:style w:type="character" w:styleId="920" w:customStyle="1">
    <w:name w:val="纯文本 字符"/>
    <w:basedOn w:val="859"/>
    <w:link w:val="866"/>
    <w:uiPriority w:val="0"/>
    <w:qFormat/>
    <w:rPr>
      <w:rFonts w:hint="eastAsia" w:ascii="宋体" w:hAnsi="Courier New" w:eastAsia="宋体" w:cs="宋体"/>
      <w:b/>
      <w:sz w:val="21"/>
      <w:szCs w:val="21"/>
    </w:rPr>
  </w:style>
  <w:style w:type="character" w:styleId="921" w:customStyle="1">
    <w:name w:val="font21"/>
    <w:basedOn w:val="859"/>
    <w:uiPriority w:val="0"/>
    <w:qFormat/>
    <w:rPr>
      <w:rFonts w:hint="eastAsia" w:ascii="宋体" w:hAnsi="宋体" w:eastAsia="宋体" w:cs="宋体"/>
      <w:color w:val="000000"/>
      <w:sz w:val="22"/>
      <w:szCs w:val="22"/>
      <w:u w:val="none"/>
    </w:rPr>
  </w:style>
  <w:style w:type="paragraph" w:styleId="922" w:customStyle="1">
    <w:name w:val="页脚1"/>
    <w:basedOn w:val="854"/>
    <w:next w:val="923"/>
    <w:uiPriority w:val="0"/>
    <w:qFormat/>
    <w:pPr>
      <w:tabs>
        <w:tab w:val="center" w:pos="4153" w:leader="none"/>
        <w:tab w:val="right" w:pos="8306" w:leader="none"/>
      </w:tabs>
    </w:pPr>
    <w:rPr>
      <w:sz w:val="18"/>
      <w:szCs w:val="18"/>
    </w:rPr>
  </w:style>
  <w:style w:type="paragraph" w:styleId="923" w:customStyle="1">
    <w:name w:val="明显引用1"/>
    <w:basedOn w:val="854"/>
    <w:next w:val="854"/>
    <w:uiPriority w:val="0"/>
    <w:qFormat/>
    <w:pPr>
      <w:ind w:left="936" w:right="936"/>
      <w:spacing w:before="200" w:after="280"/>
      <w:pBdr>
        <w:bottom w:val="single" w:color="4F81BD" w:sz="4" w:space="4"/>
      </w:pBdr>
    </w:pPr>
    <w:rPr>
      <w:b/>
      <w:bCs/>
      <w:i/>
      <w:iCs/>
      <w:color w:val="4f81bd"/>
    </w:rPr>
  </w:style>
  <w:style w:type="character" w:styleId="924" w:customStyle="1">
    <w:name w:val="批注文字 字符"/>
    <w:basedOn w:val="859"/>
    <w:link w:val="862"/>
    <w:uiPriority w:val="99"/>
    <w:semiHidden/>
    <w:qFormat/>
    <w:rPr>
      <w:rFonts w:ascii="Arial" w:hAnsi="Arial" w:cs="Arial"/>
      <w:color w:val="000000"/>
      <w:sz w:val="24"/>
      <w:szCs w:val="21"/>
      <w:lang w:eastAsia="en-US"/>
    </w:rPr>
  </w:style>
  <w:style w:type="character" w:styleId="925" w:customStyle="1">
    <w:name w:val="批注主题 字符"/>
    <w:basedOn w:val="924"/>
    <w:link w:val="873"/>
    <w:uiPriority w:val="99"/>
    <w:semiHidden/>
    <w:qFormat/>
    <w:rPr>
      <w:rFonts w:ascii="Arial" w:hAnsi="Arial" w:cs="Arial"/>
      <w:b/>
      <w:bCs/>
      <w:color w:val="000000"/>
      <w:sz w:val="24"/>
      <w:szCs w:val="21"/>
      <w:lang w:eastAsia="en-US"/>
    </w:rPr>
  </w:style>
  <w:style w:type="paragraph" w:styleId="92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24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2.xml><?xml version="1.0" encoding="utf-8"?>
<contractReview xmlns="http://schemas.wps.cn/vas-ai-hub/contract-review">
  <reviewItems>
    <reviewItem>
      <errorID>e2606df5-4ed4-4010-aecb-53557af68741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812612C</paraID>
      <start>68</start>
      <end>69</end>
      <status>unmodified</status>
      <modifiedWord/>
      <trackRevisions>false</trackRevisions>
    </reviewItem>
    <reviewItem>
      <errorID>1585eec6-d2f9-45e9-b718-c9ea3ef4e6e6</errorID>
      <errorWord>（</errorWord>
      <group>L1_Punc</group>
      <groupName>标点问题</groupName>
      <ability>L2_Punc_CN</ability>
      <abilityName>标点符号检查</abilityName>
      <candidateList/>
      <explain>同一形式括号套用。</explain>
      <paraID>60C7E582</paraID>
      <start>73</start>
      <end>74</end>
      <status>unmodified</status>
      <modifiedWord/>
      <trackRevisions>false</trackRevisions>
    </reviewItem>
    <reviewItem>
      <errorID>4351b522-f864-4786-9378-e134a5b669a1</errorID>
      <errorWord>）</errorWord>
      <group>L1_Punc</group>
      <groupName>标点问题</groupName>
      <ability>L2_Punc_CN</ability>
      <abilityName>标点符号检查</abilityName>
      <candidateList/>
      <explain>同一形式括号套用。</explain>
      <paraID>60C7E582</paraID>
      <start>76</start>
      <end>77</end>
      <status>unmodified</status>
      <modifiedWord/>
      <trackRevisions>false</trackRevisions>
    </reviewItem>
    <reviewItem>
      <errorID>2d700bee-56de-4a88-8257-d9bd17f4e322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DA40ECE</paraID>
      <start>54</start>
      <end>55</end>
      <status>unmodified</status>
      <modifiedWord/>
      <trackRevisions>false</trackRevisions>
    </reviewItem>
    <reviewItem>
      <errorID>e343b54f-2cf7-4fc0-8069-6edf6a16b5d7</errorID>
      <errorWord>页</errorWord>
      <group>L1_Word</group>
      <groupName>字词问题</groupName>
      <ability>L2_Typo</ability>
      <abilityName>字词错误</abilityName>
      <candidateList>
        <item>页面</item>
      </candidateList>
      <explain/>
      <paraID>14C848B4</paraID>
      <start>26</start>
      <end>27</end>
      <status>ignored</status>
      <modifiedWord/>
      <trackRevisions>false</trackRevisions>
    </reviewItem>
    <reviewItem>
      <errorID>a9348912-5e6c-47b2-a5e3-c7f197ceebb4</errorID>
      <errorWord>》</errorWord>
      <group>L1_Word</group>
      <groupName>字词问题</groupName>
      <ability>L2_Typo</ability>
      <abilityName>字词错误</abilityName>
      <candidateList>
        <item>》和</item>
      </candidateList>
      <explain/>
      <paraID>67B78102</paraID>
      <start>42</start>
      <end>43</end>
      <status>ignored</status>
      <modifiedWord/>
      <trackRevisions>false</trackRevisions>
    </reviewItem>
    <reviewItem>
      <errorID>8681c751-af05-41fb-bfb7-38bce668ffff</errorID>
      <errorWord>（</errorWord>
      <group>L1_Punc</group>
      <groupName>标点问题</groupName>
      <ability>L2_Punc_CN</ability>
      <abilityName>标点符号检查</abilityName>
      <candidateList/>
      <explain>同一形式括号套用。</explain>
      <paraID>14910479</paraID>
      <start>69</start>
      <end>70</end>
      <status>ignored</status>
      <modifiedWord/>
      <trackRevisions>false</trackRevisions>
    </reviewItem>
    <reviewItem>
      <errorID>0480fd56-8596-496b-9587-eec2f57a8dce</errorID>
      <errorWord>）</errorWord>
      <group>L1_Punc</group>
      <groupName>标点问题</groupName>
      <ability>L2_Punc_CN</ability>
      <abilityName>标点符号检查</abilityName>
      <candidateList/>
      <explain>同一形式括号套用。</explain>
      <paraID>14910479</paraID>
      <start>71</start>
      <end>72</end>
      <status>ignored</status>
      <modifiedWord/>
      <trackRevisions>false</trackRevisions>
    </reviewItem>
    <reviewItem>
      <errorID>48247b47-840f-4095-a656-509750b18f16</errorID>
      <errorWord>（</errorWord>
      <group>L1_Punc</group>
      <groupName>标点问题</groupName>
      <ability>L2_Punc_CN</ability>
      <abilityName>标点符号检查</abilityName>
      <candidateList/>
      <explain>同一形式括号套用。</explain>
      <paraID> 46422FE</paraID>
      <start>48</start>
      <end>49</end>
      <status>ignored</status>
      <modifiedWord/>
      <trackRevisions>false</trackRevisions>
    </reviewItem>
    <reviewItem>
      <errorID>d95781cb-336e-4a03-b027-5aa03e1e2de4</errorID>
      <errorWord>）</errorWord>
      <group>L1_Punc</group>
      <groupName>标点问题</groupName>
      <ability>L2_Punc_CN</ability>
      <abilityName>标点符号检查</abilityName>
      <candidateList/>
      <explain>同一形式括号套用。</explain>
      <paraID> 46422FE</paraID>
      <start>54</start>
      <end>55</end>
      <status>ignored</status>
      <modifiedWord/>
      <trackRevisions>false</trackRevisions>
    </reviewItem>
    <reviewItem>
      <errorID>619506f0-e058-4e95-b4c1-1b7c7d1f80b3</errorID>
      <errorWord>（</errorWord>
      <group>L1_Punc</group>
      <groupName>标点问题</groupName>
      <ability>L2_Punc_CN</ability>
      <abilityName>标点符号检查</abilityName>
      <candidateList/>
      <explain>同一形式括号套用。</explain>
      <paraID> 3BB257E</paraID>
      <start>44</start>
      <end>45</end>
      <status>ignored</status>
      <modifiedWord/>
      <trackRevisions>false</trackRevisions>
    </reviewItem>
    <reviewItem>
      <errorID>d94cb24b-95dc-42df-947e-c1bed2f87012</errorID>
      <errorWord>）</errorWord>
      <group>L1_Punc</group>
      <groupName>标点问题</groupName>
      <ability>L2_Punc_CN</ability>
      <abilityName>标点符号检查</abilityName>
      <candidateList/>
      <explain>同一形式括号套用。</explain>
      <paraID> 3BB257E</paraID>
      <start>50</start>
      <end>51</end>
      <status>ignored</status>
      <modifiedWord/>
      <trackRevisions>false</trackRevisions>
    </reviewItem>
    <reviewItem>
      <errorID>35584d1e-f0d3-47f6-bf32-18ab3195a00f</errorID>
      <errorWord>（</errorWord>
      <group>L1_Punc</group>
      <groupName>标点问题</groupName>
      <ability>L2_Punc_CN</ability>
      <abilityName>标点符号检查</abilityName>
      <candidateList/>
      <explain>同一形式括号套用。</explain>
      <paraID>7B1F6AF1</paraID>
      <start>92</start>
      <end>93</end>
      <status>ignored</status>
      <modifiedWord/>
      <trackRevisions>false</trackRevisions>
    </reviewItem>
    <reviewItem>
      <errorID>d25e353f-a408-4895-9c73-0479910164a5</errorID>
      <errorWord>）</errorWord>
      <group>L1_Punc</group>
      <groupName>标点问题</groupName>
      <ability>L2_Punc_CN</ability>
      <abilityName>标点符号检查</abilityName>
      <candidateList/>
      <explain>同一形式括号套用。</explain>
      <paraID>7B1F6AF1</paraID>
      <start>102</start>
      <end>103</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52827E1-D9F5-4967-A373-583B04F5BFEA}"/>
</file>

<file path=customXml/itemProps2.xml><?xml version="1.0" encoding="utf-8"?>
<ds:datastoreItem xmlns:ds="http://schemas.openxmlformats.org/officeDocument/2006/customXml" ds:itemID="{EFAB763D-0B62-46AE-8C21-7C617FA87F0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5</cp:revision>
  <dcterms:created xsi:type="dcterms:W3CDTF">2026-05-07T01:35:00Z</dcterms:created>
  <dcterms:modified xsi:type="dcterms:W3CDTF">2026-05-29T09:45:01Z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4265394C5B5742B5B382EF1D072340CB_13</vt:lpwstr>
  </property>
  <property fmtid="{D5CDD505-2E9C-101B-9397-08002B2CF9AE}" pid="4" name="KSOTemplateDocerSaveRecord">
    <vt:lpwstr>eyJoZGlkIjoiY2I5NTQ1ZTExYzRhMTkyZWRlZDZhODNjZGQ1YmNmNjQiLCJ1c2VySWQiOiIyMzA4Njc3NTkifQ==</vt:lpwstr>
  </property>
</Properties>
</file>